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C1F" w:rsidRDefault="00CE7E9F">
      <w:pPr>
        <w:pStyle w:val="10"/>
        <w:spacing w:beforeLines="50" w:before="156" w:afterLines="50" w:after="156" w:line="400" w:lineRule="atLeast"/>
        <w:ind w:firstLine="880"/>
        <w:contextualSpacing/>
        <w:jc w:val="distribute"/>
        <w:rPr>
          <w:rFonts w:ascii="黑体" w:eastAsia="黑体" w:hAnsi="黑体" w:cs="宋体"/>
          <w:sz w:val="44"/>
          <w:szCs w:val="44"/>
        </w:rPr>
      </w:pPr>
      <w:r>
        <w:rPr>
          <w:rFonts w:ascii="黑体" w:eastAsia="黑体" w:hAnsi="黑体" w:cs="宋体" w:hint="eastAsia"/>
          <w:sz w:val="44"/>
          <w:szCs w:val="44"/>
        </w:rPr>
        <w:t xml:space="preserve"> </w:t>
      </w:r>
    </w:p>
    <w:p w:rsidR="00B51C1F" w:rsidRDefault="00CE7E9F" w:rsidP="000E0B3F">
      <w:pPr>
        <w:pStyle w:val="10"/>
        <w:spacing w:beforeLines="50" w:before="156" w:afterLines="50" w:after="156" w:line="400" w:lineRule="atLeast"/>
        <w:ind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B51C1F" w:rsidRDefault="00CE7E9F" w:rsidP="000E0B3F">
      <w:pPr>
        <w:pStyle w:val="10"/>
        <w:spacing w:beforeLines="50" w:before="156" w:afterLines="50" w:after="156" w:line="400" w:lineRule="atLeast"/>
        <w:ind w:firstLineChars="0" w:firstLine="0"/>
        <w:contextualSpacing/>
        <w:jc w:val="right"/>
        <w:rPr>
          <w:rFonts w:ascii="黑体" w:eastAsia="黑体" w:hAnsi="黑体" w:cs="宋体"/>
          <w:sz w:val="28"/>
          <w:szCs w:val="28"/>
        </w:rPr>
      </w:pPr>
      <w:r>
        <w:rPr>
          <w:rFonts w:ascii="黑体" w:eastAsia="黑体" w:hAnsi="黑体" w:cs="宋体"/>
          <w:sz w:val="28"/>
          <w:szCs w:val="28"/>
        </w:rPr>
        <w:t>LB/T</w:t>
      </w:r>
      <w:r>
        <w:rPr>
          <w:rFonts w:ascii="黑体" w:eastAsia="黑体" w:hAnsi="黑体" w:cs="宋体" w:hint="eastAsia"/>
          <w:sz w:val="28"/>
          <w:szCs w:val="28"/>
        </w:rPr>
        <w:t xml:space="preserve"> </w:t>
      </w:r>
      <w:r w:rsidR="00AD7D81">
        <w:rPr>
          <w:rFonts w:ascii="黑体" w:eastAsia="黑体" w:hAnsi="黑体" w:cs="宋体" w:hint="eastAsia"/>
          <w:sz w:val="28"/>
          <w:szCs w:val="28"/>
        </w:rPr>
        <w:t>377</w:t>
      </w:r>
      <w:r>
        <w:rPr>
          <w:rFonts w:ascii="黑体" w:eastAsia="黑体" w:hAnsi="黑体" w:cs="宋体" w:hint="eastAsia"/>
          <w:sz w:val="28"/>
          <w:szCs w:val="28"/>
        </w:rPr>
        <w:t>-</w:t>
      </w:r>
      <w:r>
        <w:rPr>
          <w:rFonts w:ascii="黑体" w:eastAsia="黑体" w:hAnsi="黑体" w:cs="宋体"/>
          <w:sz w:val="28"/>
          <w:szCs w:val="28"/>
        </w:rPr>
        <w:t>20</w:t>
      </w:r>
      <w:r w:rsidR="00A8308A">
        <w:rPr>
          <w:rFonts w:ascii="黑体" w:eastAsia="黑体" w:hAnsi="黑体" w:cs="宋体" w:hint="eastAsia"/>
          <w:sz w:val="28"/>
          <w:szCs w:val="28"/>
        </w:rPr>
        <w:t>26</w:t>
      </w:r>
    </w:p>
    <w:p w:rsidR="00B51C1F" w:rsidRDefault="00CE7E9F" w:rsidP="000E0B3F">
      <w:pPr>
        <w:pStyle w:val="10"/>
        <w:spacing w:beforeLines="50" w:before="156" w:afterLines="50" w:after="156" w:line="400" w:lineRule="atLeast"/>
        <w:ind w:firstLineChars="0" w:firstLine="0"/>
        <w:contextualSpacing/>
        <w:jc w:val="right"/>
        <w:rPr>
          <w:rFonts w:ascii="黑体" w:eastAsia="黑体" w:hAnsi="黑体" w:cs="宋体"/>
          <w:sz w:val="28"/>
          <w:szCs w:val="28"/>
        </w:rPr>
      </w:pPr>
      <w:r>
        <w:rPr>
          <w:rFonts w:ascii="黑体" w:eastAsia="黑体" w:hAnsi="黑体" w:cs="宋体"/>
          <w:noProof/>
          <w:sz w:val="28"/>
          <w:szCs w:val="28"/>
        </w:rPr>
        <mc:AlternateContent>
          <mc:Choice Requires="wps">
            <w:drawing>
              <wp:anchor distT="0" distB="0" distL="114300" distR="114300" simplePos="0" relativeHeight="251657216" behindDoc="0" locked="0" layoutInCell="1" allowOverlap="1">
                <wp:simplePos x="0" y="0"/>
                <wp:positionH relativeFrom="column">
                  <wp:posOffset>160020</wp:posOffset>
                </wp:positionH>
                <wp:positionV relativeFrom="paragraph">
                  <wp:posOffset>76200</wp:posOffset>
                </wp:positionV>
                <wp:extent cx="5173980" cy="0"/>
                <wp:effectExtent l="0" t="4445" r="0" b="5080"/>
                <wp:wrapNone/>
                <wp:docPr id="2" name="直接箭头连接符 2"/>
                <wp:cNvGraphicFramePr/>
                <a:graphic xmlns:a="http://schemas.openxmlformats.org/drawingml/2006/main">
                  <a:graphicData uri="http://schemas.microsoft.com/office/word/2010/wordprocessingShape">
                    <wps:wsp>
                      <wps:cNvCnPr/>
                      <wps:spPr>
                        <a:xfrm>
                          <a:off x="0" y="0"/>
                          <a:ext cx="517398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384986EF" id="_x0000_t32" coordsize="21600,21600" o:spt="32" o:oned="t" path="m,l21600,21600e" filled="f">
                <v:path arrowok="t" fillok="f" o:connecttype="none"/>
                <o:lock v:ext="edit" shapetype="t"/>
              </v:shapetype>
              <v:shape id="直接箭头连接符 2" o:spid="_x0000_s1026" type="#_x0000_t32" style="position:absolute;left:0;text-align:left;margin-left:12.6pt;margin-top:6pt;width:407.4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"/>
            </w:pict>
          </mc:Fallback>
        </mc:AlternateContent>
      </w:r>
    </w:p>
    <w:p w:rsidR="00B51C1F" w:rsidRDefault="00B51C1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B51C1F" w:rsidRDefault="00B51C1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B51C1F" w:rsidRDefault="00B51C1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B51C1F" w:rsidRDefault="00B51C1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0E0B3F" w:rsidRDefault="000E0B3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0E0B3F" w:rsidRDefault="000E0B3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6E7007" w:rsidRDefault="006E7007"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6E7007" w:rsidRDefault="006E7007"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0E0B3F" w:rsidRDefault="000E0B3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B51C1F" w:rsidRDefault="00B51C1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28"/>
          <w:szCs w:val="28"/>
        </w:rPr>
      </w:pPr>
    </w:p>
    <w:p w:rsidR="00B51C1F" w:rsidRDefault="00CE7E9F" w:rsidP="000E0B3F">
      <w:pPr>
        <w:pStyle w:val="10"/>
        <w:spacing w:beforeLines="50" w:before="156" w:afterLines="50" w:after="156" w:line="400" w:lineRule="atLeast"/>
        <w:ind w:firstLineChars="0" w:firstLine="0"/>
        <w:contextualSpacing/>
        <w:jc w:val="center"/>
        <w:rPr>
          <w:rFonts w:ascii="黑体" w:eastAsia="黑体" w:hAnsi="黑体" w:cs="宋体"/>
          <w:sz w:val="48"/>
          <w:szCs w:val="48"/>
        </w:rPr>
      </w:pPr>
      <w:r>
        <w:rPr>
          <w:rFonts w:ascii="黑体" w:eastAsia="黑体" w:hAnsi="黑体" w:hint="eastAsia"/>
          <w:sz w:val="48"/>
          <w:szCs w:val="48"/>
        </w:rPr>
        <w:t>绿色食品炒制</w:t>
      </w:r>
      <w:r>
        <w:rPr>
          <w:rFonts w:ascii="黑体" w:eastAsia="黑体" w:hAnsi="黑体" w:cs="宋体" w:hint="eastAsia"/>
          <w:sz w:val="48"/>
          <w:szCs w:val="48"/>
        </w:rPr>
        <w:t>瓜蒌籽</w:t>
      </w:r>
      <w:r>
        <w:rPr>
          <w:rFonts w:ascii="黑体" w:eastAsia="黑体" w:hAnsi="黑体" w:hint="eastAsia"/>
          <w:sz w:val="48"/>
          <w:szCs w:val="48"/>
        </w:rPr>
        <w:t>加工规程</w:t>
      </w:r>
    </w:p>
    <w:p w:rsidR="00B51C1F" w:rsidRDefault="00B51C1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52"/>
          <w:szCs w:val="52"/>
        </w:rPr>
      </w:pPr>
    </w:p>
    <w:p w:rsidR="00B51C1F" w:rsidRDefault="00B51C1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52"/>
          <w:szCs w:val="52"/>
        </w:rPr>
      </w:pPr>
    </w:p>
    <w:p w:rsidR="00B51C1F" w:rsidRDefault="00B51C1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52"/>
          <w:szCs w:val="52"/>
        </w:rPr>
      </w:pPr>
    </w:p>
    <w:p w:rsidR="000E0B3F" w:rsidRDefault="000E0B3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52"/>
          <w:szCs w:val="52"/>
        </w:rPr>
      </w:pPr>
    </w:p>
    <w:p w:rsidR="000E0B3F" w:rsidRDefault="000E0B3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52"/>
          <w:szCs w:val="52"/>
        </w:rPr>
      </w:pPr>
    </w:p>
    <w:p w:rsidR="000E0B3F" w:rsidRDefault="000E0B3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52"/>
          <w:szCs w:val="52"/>
        </w:rPr>
      </w:pPr>
    </w:p>
    <w:p w:rsidR="000E0B3F" w:rsidRDefault="000E0B3F" w:rsidP="000E0B3F">
      <w:pPr>
        <w:pStyle w:val="10"/>
        <w:spacing w:beforeLines="50" w:before="156" w:afterLines="50" w:after="156" w:line="400" w:lineRule="atLeast"/>
        <w:ind w:firstLineChars="0" w:firstLine="0"/>
        <w:contextualSpacing/>
        <w:jc w:val="center"/>
        <w:rPr>
          <w:rFonts w:asciiTheme="majorEastAsia" w:eastAsiaTheme="majorEastAsia" w:hAnsiTheme="majorEastAsia" w:cstheme="majorEastAsia"/>
          <w:sz w:val="52"/>
          <w:szCs w:val="52"/>
        </w:rPr>
      </w:pPr>
    </w:p>
    <w:p w:rsidR="00B51C1F" w:rsidRDefault="00B51C1F" w:rsidP="000E0B3F">
      <w:pPr>
        <w:pStyle w:val="10"/>
        <w:spacing w:beforeLines="50" w:before="156" w:afterLines="50" w:after="156" w:line="400" w:lineRule="atLeast"/>
        <w:ind w:firstLineChars="0" w:firstLine="0"/>
        <w:contextualSpacing/>
        <w:rPr>
          <w:rFonts w:asciiTheme="majorEastAsia" w:eastAsiaTheme="majorEastAsia" w:hAnsiTheme="majorEastAsia" w:cstheme="majorEastAsia"/>
          <w:sz w:val="52"/>
          <w:szCs w:val="52"/>
        </w:rPr>
      </w:pPr>
    </w:p>
    <w:p w:rsidR="00B51C1F" w:rsidRDefault="00AD7D81" w:rsidP="006E7007">
      <w:pPr>
        <w:pStyle w:val="10"/>
        <w:spacing w:beforeLines="50" w:before="156" w:afterLines="50" w:after="156" w:line="400" w:lineRule="atLeast"/>
        <w:ind w:firstLineChars="0" w:firstLine="0"/>
        <w:contextualSpacing/>
        <w:jc w:val="center"/>
        <w:rPr>
          <w:rFonts w:ascii="黑体" w:eastAsia="黑体" w:hAnsi="黑体" w:cs="宋体"/>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bookmarkStart w:id="0" w:name="_GoBack"/>
      <w:bookmarkEnd w:id="0"/>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B51C1F" w:rsidRDefault="00CE7E9F" w:rsidP="000E0B3F">
      <w:pPr>
        <w:pStyle w:val="10"/>
        <w:spacing w:beforeLines="50" w:before="156" w:afterLines="50" w:after="156" w:line="400" w:lineRule="atLeast"/>
        <w:ind w:firstLineChars="0" w:firstLine="0"/>
        <w:contextualSpacing/>
        <w:jc w:val="left"/>
        <w:rPr>
          <w:rFonts w:ascii="黑体" w:eastAsia="黑体" w:hAnsi="黑体" w:cs="宋体"/>
          <w:sz w:val="24"/>
          <w:szCs w:val="24"/>
        </w:rPr>
      </w:pPr>
      <w:r>
        <w:rPr>
          <w:rFonts w:ascii="黑体" w:eastAsia="黑体" w:hAnsi="黑体" w:cs="宋体"/>
          <w:noProof/>
          <w:sz w:val="24"/>
          <w:szCs w:val="24"/>
        </w:rPr>
        <mc:AlternateContent>
          <mc:Choice Requires="wps">
            <w:drawing>
              <wp:anchor distT="0" distB="0" distL="114300" distR="114300" simplePos="0" relativeHeight="251658240" behindDoc="0" locked="0" layoutInCell="1" allowOverlap="1" wp14:anchorId="050CA387" wp14:editId="50EA1B67">
                <wp:simplePos x="0" y="0"/>
                <wp:positionH relativeFrom="column">
                  <wp:posOffset>197113</wp:posOffset>
                </wp:positionH>
                <wp:positionV relativeFrom="paragraph">
                  <wp:posOffset>114300</wp:posOffset>
                </wp:positionV>
                <wp:extent cx="4853940" cy="15240"/>
                <wp:effectExtent l="0" t="0" r="22860" b="22860"/>
                <wp:wrapNone/>
                <wp:docPr id="1" name="直接箭头连接符 1"/>
                <wp:cNvGraphicFramePr/>
                <a:graphic xmlns:a="http://schemas.openxmlformats.org/drawingml/2006/main">
                  <a:graphicData uri="http://schemas.microsoft.com/office/word/2010/wordprocessingShape">
                    <wps:wsp>
                      <wps:cNvCnPr/>
                      <wps:spPr>
                        <a:xfrm>
                          <a:off x="0" y="0"/>
                          <a:ext cx="4853940" cy="15240"/>
                        </a:xfrm>
                        <a:prstGeom prst="straightConnector1">
                          <a:avLst/>
                        </a:prstGeom>
                        <a:ln w="6350" cap="flat" cmpd="sng">
                          <a:solidFill>
                            <a:schemeClr val="tx1"/>
                          </a:solidFill>
                          <a:prstDash val="soli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 w14:anchorId="617EBF70" id="直接箭头连接符 1" o:spid="_x0000_s1026" type="#_x0000_t32" style="position:absolute;left:0;text-align:left;margin-left:15.5pt;margin-top:9pt;width:382.2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" strokecolor="black [3213]" strokeweight=".5pt"/>
            </w:pict>
          </mc:Fallback>
        </mc:AlternateContent>
      </w:r>
    </w:p>
    <w:p w:rsidR="00B51C1F" w:rsidRDefault="00CE7E9F" w:rsidP="000E0B3F">
      <w:pPr>
        <w:pStyle w:val="10"/>
        <w:spacing w:beforeLines="50" w:before="156" w:afterLines="50" w:after="156" w:line="400" w:lineRule="atLeast"/>
        <w:ind w:firstLineChars="0" w:firstLine="0"/>
        <w:contextualSpacing/>
        <w:jc w:val="center"/>
        <w:rPr>
          <w:rFonts w:ascii="黑体" w:eastAsia="黑体" w:hAnsi="黑体" w:cs="宋体"/>
          <w:sz w:val="28"/>
          <w:szCs w:val="28"/>
        </w:rPr>
      </w:pPr>
      <w:r w:rsidRPr="006E7007">
        <w:rPr>
          <w:rFonts w:ascii="华文中宋" w:eastAsia="华文中宋" w:hAnsi="华文中宋" w:cs="宋体" w:hint="eastAsia"/>
          <w:spacing w:val="71"/>
          <w:kern w:val="0"/>
          <w:sz w:val="32"/>
          <w:szCs w:val="32"/>
          <w:fitText w:val="4480" w:id="558052848"/>
        </w:rPr>
        <w:t>中国绿色食品发展中</w:t>
      </w:r>
      <w:r w:rsidRPr="006E7007">
        <w:rPr>
          <w:rFonts w:ascii="华文中宋" w:eastAsia="华文中宋" w:hAnsi="华文中宋" w:cs="宋体" w:hint="eastAsia"/>
          <w:spacing w:val="1"/>
          <w:kern w:val="0"/>
          <w:sz w:val="32"/>
          <w:szCs w:val="32"/>
          <w:fitText w:val="4480" w:id="558052848"/>
        </w:rPr>
        <w:t>心</w:t>
      </w:r>
      <w:r>
        <w:rPr>
          <w:rFonts w:ascii="华文中宋" w:eastAsia="华文中宋" w:hAnsi="华文中宋" w:cs="宋体" w:hint="eastAsia"/>
          <w:kern w:val="0"/>
          <w:sz w:val="32"/>
          <w:szCs w:val="32"/>
        </w:rPr>
        <w:t xml:space="preserve">  </w:t>
      </w:r>
      <w:r>
        <w:rPr>
          <w:rFonts w:ascii="黑体" w:eastAsia="黑体" w:hAnsi="黑体" w:cs="宋体" w:hint="eastAsia"/>
          <w:sz w:val="28"/>
          <w:szCs w:val="28"/>
        </w:rPr>
        <w:t>发 布</w:t>
      </w:r>
    </w:p>
    <w:p w:rsidR="00B51C1F" w:rsidRDefault="00B51C1F">
      <w:pPr>
        <w:pStyle w:val="10"/>
        <w:spacing w:beforeLines="50" w:before="156" w:afterLines="50" w:after="156" w:line="400" w:lineRule="atLeast"/>
        <w:ind w:left="357" w:firstLineChars="0" w:firstLine="0"/>
        <w:contextualSpacing/>
        <w:jc w:val="center"/>
        <w:rPr>
          <w:rFonts w:ascii="黑体" w:eastAsia="黑体" w:hAnsi="黑体" w:cs="宋体"/>
          <w:sz w:val="28"/>
          <w:szCs w:val="28"/>
        </w:rPr>
        <w:sectPr w:rsidR="00B51C1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12"/>
        </w:sectPr>
      </w:pPr>
    </w:p>
    <w:p w:rsidR="00B51C1F" w:rsidRDefault="00B51C1F">
      <w:pPr>
        <w:pStyle w:val="10"/>
        <w:spacing w:beforeLines="50" w:before="156" w:afterLines="50" w:after="156" w:line="400" w:lineRule="atLeast"/>
        <w:ind w:left="357" w:firstLineChars="0" w:firstLine="0"/>
        <w:contextualSpacing/>
        <w:jc w:val="center"/>
        <w:rPr>
          <w:rFonts w:ascii="黑体" w:eastAsia="黑体" w:hAnsi="黑体" w:cs="宋体"/>
          <w:sz w:val="32"/>
          <w:szCs w:val="32"/>
        </w:rPr>
      </w:pPr>
    </w:p>
    <w:p w:rsidR="00B51C1F" w:rsidRDefault="00CE7E9F">
      <w:pPr>
        <w:pStyle w:val="10"/>
        <w:spacing w:beforeLines="50" w:before="156" w:afterLines="50" w:after="156" w:line="400" w:lineRule="atLeast"/>
        <w:ind w:left="357" w:firstLineChars="0" w:firstLine="0"/>
        <w:contextualSpacing/>
        <w:jc w:val="center"/>
        <w:rPr>
          <w:rFonts w:ascii="黑体" w:eastAsia="黑体" w:hAnsi="黑体" w:cs="宋体"/>
          <w:sz w:val="32"/>
          <w:szCs w:val="32"/>
        </w:rPr>
      </w:pPr>
      <w:r>
        <w:rPr>
          <w:rFonts w:ascii="黑体" w:eastAsia="黑体" w:hAnsi="黑体" w:cs="宋体" w:hint="eastAsia"/>
          <w:sz w:val="32"/>
          <w:szCs w:val="32"/>
        </w:rPr>
        <w:t>前  言</w:t>
      </w:r>
    </w:p>
    <w:p w:rsidR="00B51C1F" w:rsidRDefault="00B51C1F">
      <w:pPr>
        <w:pStyle w:val="10"/>
        <w:spacing w:beforeLines="50" w:before="156" w:afterLines="50" w:after="156" w:line="400" w:lineRule="atLeast"/>
        <w:ind w:left="357" w:firstLineChars="0" w:firstLine="0"/>
        <w:contextualSpacing/>
        <w:jc w:val="center"/>
        <w:rPr>
          <w:rFonts w:ascii="黑体" w:eastAsia="黑体" w:hAnsi="黑体" w:cs="宋体"/>
          <w:sz w:val="32"/>
          <w:szCs w:val="32"/>
        </w:rPr>
      </w:pPr>
    </w:p>
    <w:p w:rsidR="00B51C1F" w:rsidRDefault="00CE7E9F">
      <w:pPr>
        <w:pStyle w:val="10"/>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本文件由中国绿色食品发展中心设计、审核并归口。</w:t>
      </w:r>
    </w:p>
    <w:p w:rsidR="00B51C1F" w:rsidRDefault="00CE7E9F">
      <w:pPr>
        <w:pStyle w:val="10"/>
        <w:spacing w:beforeLines="50" w:before="156" w:afterLines="50" w:after="156" w:line="400" w:lineRule="atLeast"/>
        <w:contextualSpacing/>
        <w:jc w:val="left"/>
        <w:rPr>
          <w:rFonts w:ascii="宋体" w:hAnsi="宋体" w:cs="宋体"/>
        </w:rPr>
      </w:pPr>
      <w:r>
        <w:rPr>
          <w:rFonts w:ascii="宋体" w:hAnsi="宋体" w:cs="宋体" w:hint="eastAsia"/>
        </w:rPr>
        <w:t>本文件起草单位：安徽有余跨越食品开发股份有限公司、安徽省农业科学院农产品加工研究所、</w:t>
      </w:r>
      <w:r>
        <w:rPr>
          <w:rFonts w:ascii="宋体" w:hAnsi="宋体" w:cs="宋体"/>
        </w:rPr>
        <w:t>中国绿色食品发展中心</w:t>
      </w:r>
      <w:r>
        <w:rPr>
          <w:rFonts w:ascii="宋体" w:hAnsi="宋体" w:cs="宋体" w:hint="eastAsia"/>
        </w:rPr>
        <w:t>、安徽省农业科学院园艺研究所、安庆市农产品质量安全检测中心、潜山市农产品检验检测中心、太和县城关镇农业农村综合服务中心、江西省农业技术推广中心、河北省农产品质量安全中心、山东省绿色食品发展中心、新疆维吾尔自治区农产品质量安全中心（自治区绿色食品发展中心）、南充市农业农村局农业经济作物管理站、浠水县绿色食品服务中心。</w:t>
      </w:r>
    </w:p>
    <w:p w:rsidR="00B51C1F" w:rsidRDefault="00CE7E9F">
      <w:pPr>
        <w:pStyle w:val="10"/>
        <w:spacing w:beforeLines="50" w:before="156" w:afterLines="50" w:after="156" w:line="400" w:lineRule="atLeast"/>
        <w:contextualSpacing/>
        <w:jc w:val="left"/>
        <w:rPr>
          <w:rFonts w:ascii="宋体" w:hAnsi="宋体" w:cs="宋体"/>
        </w:rPr>
      </w:pPr>
      <w:r>
        <w:rPr>
          <w:rFonts w:ascii="宋体" w:hAnsi="宋体" w:cs="宋体" w:hint="eastAsia"/>
        </w:rPr>
        <w:t>本文件主要起草人：李华、尤逢惠、</w:t>
      </w:r>
      <w:r w:rsidR="006E7007">
        <w:rPr>
          <w:rFonts w:ascii="宋体" w:hAnsi="宋体" w:cs="宋体" w:hint="eastAsia"/>
        </w:rPr>
        <w:t>乔春楠</w:t>
      </w:r>
      <w:r w:rsidR="006E7007">
        <w:rPr>
          <w:rFonts w:ascii="宋体" w:hAnsi="宋体" w:cs="宋体"/>
        </w:rPr>
        <w:t>、</w:t>
      </w:r>
      <w:r>
        <w:rPr>
          <w:rFonts w:ascii="宋体" w:hAnsi="宋体" w:cs="宋体" w:hint="eastAsia"/>
        </w:rPr>
        <w:t>李卫文、李军、王莹、朱再生、彭飞、苏勇、张贺飞、</w:t>
      </w:r>
      <w:r w:rsidR="006E7007">
        <w:rPr>
          <w:rFonts w:ascii="宋体" w:hAnsi="宋体" w:cs="宋体" w:hint="eastAsia"/>
        </w:rPr>
        <w:t>张宪</w:t>
      </w:r>
      <w:r w:rsidR="006E7007">
        <w:rPr>
          <w:rFonts w:ascii="宋体" w:hAnsi="宋体" w:cs="宋体"/>
        </w:rPr>
        <w:t>、</w:t>
      </w:r>
      <w:r>
        <w:rPr>
          <w:rFonts w:ascii="宋体" w:hAnsi="宋体" w:cs="宋体" w:hint="eastAsia"/>
        </w:rPr>
        <w:t>杜志明、董博钊、许欣、赵芙蓉、晏莉霞、王习著。</w:t>
      </w:r>
    </w:p>
    <w:p w:rsidR="00B51C1F" w:rsidRDefault="00B51C1F">
      <w:pPr>
        <w:pStyle w:val="10"/>
        <w:spacing w:beforeLines="50" w:before="156" w:afterLines="50" w:after="156" w:line="400" w:lineRule="atLeast"/>
        <w:contextualSpacing/>
        <w:jc w:val="left"/>
        <w:rPr>
          <w:rFonts w:ascii="宋体" w:hAnsi="宋体" w:cs="宋体"/>
        </w:rPr>
      </w:pPr>
    </w:p>
    <w:p w:rsidR="00B51C1F" w:rsidRDefault="00B51C1F" w:rsidP="00A8308A">
      <w:pPr>
        <w:pStyle w:val="10"/>
        <w:spacing w:beforeLines="50" w:before="156" w:afterLines="50" w:after="156" w:line="400" w:lineRule="atLeast"/>
        <w:ind w:firstLineChars="131" w:firstLine="419"/>
        <w:contextualSpacing/>
        <w:jc w:val="left"/>
        <w:rPr>
          <w:rFonts w:ascii="黑体" w:eastAsia="黑体" w:hAnsi="黑体" w:cs="宋体"/>
          <w:sz w:val="32"/>
          <w:szCs w:val="32"/>
        </w:rPr>
        <w:sectPr w:rsidR="00B51C1F">
          <w:headerReference w:type="even" r:id="rId15"/>
          <w:headerReference w:type="default" r:id="rId16"/>
          <w:footerReference w:type="even" r:id="rId17"/>
          <w:footerReference w:type="default" r:id="rId18"/>
          <w:headerReference w:type="first" r:id="rId19"/>
          <w:pgSz w:w="11906" w:h="16838"/>
          <w:pgMar w:top="1440" w:right="1800" w:bottom="1440" w:left="1800" w:header="851" w:footer="992" w:gutter="0"/>
          <w:pgNumType w:fmt="upperRoman" w:start="1"/>
          <w:cols w:space="425"/>
          <w:docGrid w:type="lines" w:linePitch="312"/>
        </w:sectPr>
      </w:pPr>
    </w:p>
    <w:p w:rsidR="00B51C1F" w:rsidRDefault="00CE7E9F" w:rsidP="000C34AE">
      <w:pPr>
        <w:spacing w:beforeLines="100" w:before="312" w:afterLines="100" w:after="312"/>
        <w:ind w:firstLineChars="0" w:firstLine="0"/>
        <w:jc w:val="center"/>
        <w:rPr>
          <w:rFonts w:eastAsia="黑体" w:cs="Times New Roman"/>
          <w:sz w:val="32"/>
          <w:szCs w:val="32"/>
        </w:rPr>
      </w:pPr>
      <w:r>
        <w:rPr>
          <w:rFonts w:eastAsia="黑体" w:cs="Times New Roman"/>
          <w:sz w:val="32"/>
          <w:szCs w:val="32"/>
        </w:rPr>
        <w:lastRenderedPageBreak/>
        <w:t>绿色食品炒制瓜蒌籽加工规程</w:t>
      </w:r>
    </w:p>
    <w:p w:rsidR="00B51C1F" w:rsidRPr="000E0B3F" w:rsidRDefault="00CE7E9F" w:rsidP="000E0B3F">
      <w:pPr>
        <w:pStyle w:val="1"/>
      </w:pPr>
      <w:r>
        <w:rPr>
          <w:rFonts w:hint="eastAsia"/>
        </w:rPr>
        <w:t>1 范围</w:t>
      </w:r>
    </w:p>
    <w:p w:rsidR="00B51C1F" w:rsidRDefault="00CE7E9F" w:rsidP="000E0B3F">
      <w:pPr>
        <w:ind w:firstLine="420"/>
      </w:pPr>
      <w:r>
        <w:rPr>
          <w:rFonts w:hint="eastAsia"/>
        </w:rPr>
        <w:t>本文件规定了绿色食品炒制瓜蒌籽生产中的生产环境要求、原料要求、加工技术、平行生产管理、包装和标识、储藏与</w:t>
      </w:r>
      <w:r>
        <w:t>运输</w:t>
      </w:r>
      <w:r>
        <w:rPr>
          <w:rFonts w:hint="eastAsia"/>
        </w:rPr>
        <w:t>、生产废弃物处理和生产档案管理等要求</w:t>
      </w:r>
      <w:r>
        <w:t>。</w:t>
      </w:r>
    </w:p>
    <w:p w:rsidR="00B51C1F" w:rsidRDefault="00CE7E9F" w:rsidP="000E0B3F">
      <w:pPr>
        <w:ind w:firstLine="420"/>
      </w:pPr>
      <w:r>
        <w:rPr>
          <w:rFonts w:hint="eastAsia"/>
        </w:rPr>
        <w:t>本文件适用于全国范围内绿色食品炒制瓜蒌籽的生产。</w:t>
      </w:r>
    </w:p>
    <w:p w:rsidR="00B51C1F" w:rsidRDefault="00CE7E9F" w:rsidP="000E0B3F">
      <w:pPr>
        <w:pStyle w:val="1"/>
      </w:pPr>
      <w:r>
        <w:rPr>
          <w:rFonts w:hint="eastAsia"/>
        </w:rPr>
        <w:t>2 规范性引用文件</w:t>
      </w:r>
    </w:p>
    <w:p w:rsidR="00B51C1F" w:rsidRDefault="00CE7E9F" w:rsidP="000E0B3F">
      <w:pPr>
        <w:ind w:firstLine="420"/>
      </w:pPr>
      <w:r>
        <w:rPr>
          <w:rFonts w:hint="eastAsia"/>
        </w:rPr>
        <w:t>下列文件中的内容通过文中的规范性引用而构成本规程必不可少的条款。其中，注日期的引用文件，仅该日期对应的版本适用于本文件。不注日期的引用文件，其最新版本（包括所有的修改单）适用于本文件。</w:t>
      </w:r>
    </w:p>
    <w:p w:rsidR="00B51C1F" w:rsidRDefault="00CE7E9F" w:rsidP="000E0B3F">
      <w:pPr>
        <w:ind w:firstLine="420"/>
        <w:rPr>
          <w:color w:val="000000" w:themeColor="text1"/>
        </w:rPr>
      </w:pPr>
      <w:r>
        <w:rPr>
          <w:rFonts w:hint="eastAsia"/>
          <w:color w:val="000000" w:themeColor="text1"/>
        </w:rPr>
        <w:t xml:space="preserve">GB 5749  </w:t>
      </w:r>
      <w:r>
        <w:rPr>
          <w:rFonts w:hint="eastAsia"/>
          <w:color w:val="000000" w:themeColor="text1"/>
        </w:rPr>
        <w:t>生活饮用水卫生标准</w:t>
      </w:r>
    </w:p>
    <w:p w:rsidR="00B51C1F" w:rsidRDefault="00CE7E9F" w:rsidP="000E0B3F">
      <w:pPr>
        <w:ind w:firstLine="420"/>
        <w:rPr>
          <w:color w:val="000000" w:themeColor="text1"/>
        </w:rPr>
      </w:pPr>
      <w:r>
        <w:rPr>
          <w:color w:val="000000" w:themeColor="text1"/>
        </w:rPr>
        <w:t xml:space="preserve">GB 7718 </w:t>
      </w:r>
      <w:r>
        <w:rPr>
          <w:rFonts w:hint="eastAsia"/>
          <w:color w:val="000000" w:themeColor="text1"/>
        </w:rPr>
        <w:t xml:space="preserve"> </w:t>
      </w:r>
      <w:r>
        <w:rPr>
          <w:color w:val="000000" w:themeColor="text1"/>
        </w:rPr>
        <w:t>食品安全国家标准</w:t>
      </w:r>
      <w:r>
        <w:rPr>
          <w:color w:val="000000" w:themeColor="text1"/>
        </w:rPr>
        <w:t xml:space="preserve"> </w:t>
      </w:r>
      <w:r>
        <w:rPr>
          <w:color w:val="000000" w:themeColor="text1"/>
        </w:rPr>
        <w:t>预包装食品标签通则</w:t>
      </w:r>
    </w:p>
    <w:p w:rsidR="00B51C1F" w:rsidRDefault="00CE7E9F" w:rsidP="000E0B3F">
      <w:pPr>
        <w:ind w:firstLine="420"/>
        <w:rPr>
          <w:color w:val="000000" w:themeColor="text1"/>
        </w:rPr>
      </w:pPr>
      <w:r>
        <w:rPr>
          <w:color w:val="000000" w:themeColor="text1"/>
        </w:rPr>
        <w:t xml:space="preserve">GB 14881 </w:t>
      </w:r>
      <w:r>
        <w:rPr>
          <w:rFonts w:hint="eastAsia"/>
          <w:color w:val="000000" w:themeColor="text1"/>
        </w:rPr>
        <w:t xml:space="preserve"> </w:t>
      </w:r>
      <w:r>
        <w:rPr>
          <w:color w:val="000000" w:themeColor="text1"/>
        </w:rPr>
        <w:t>食品安全国家标准</w:t>
      </w:r>
      <w:r>
        <w:rPr>
          <w:color w:val="000000" w:themeColor="text1"/>
        </w:rPr>
        <w:t xml:space="preserve"> </w:t>
      </w:r>
      <w:r>
        <w:rPr>
          <w:color w:val="000000" w:themeColor="text1"/>
        </w:rPr>
        <w:t>食品生产通用卫生规范</w:t>
      </w:r>
    </w:p>
    <w:p w:rsidR="00B51C1F" w:rsidRDefault="00CE7E9F" w:rsidP="000E0B3F">
      <w:pPr>
        <w:ind w:firstLine="420"/>
        <w:rPr>
          <w:color w:val="000000" w:themeColor="text1"/>
        </w:rPr>
      </w:pPr>
      <w:r>
        <w:rPr>
          <w:color w:val="000000" w:themeColor="text1"/>
        </w:rPr>
        <w:t xml:space="preserve">GB 28050  </w:t>
      </w:r>
      <w:r>
        <w:rPr>
          <w:color w:val="000000" w:themeColor="text1"/>
        </w:rPr>
        <w:t>食品安全国家标准</w:t>
      </w:r>
      <w:r>
        <w:rPr>
          <w:color w:val="000000" w:themeColor="text1"/>
        </w:rPr>
        <w:t xml:space="preserve"> </w:t>
      </w:r>
      <w:r>
        <w:rPr>
          <w:color w:val="000000" w:themeColor="text1"/>
        </w:rPr>
        <w:t>预包装食品营养标签通则</w:t>
      </w:r>
    </w:p>
    <w:p w:rsidR="00B51C1F" w:rsidRDefault="00CE7E9F" w:rsidP="000E0B3F">
      <w:pPr>
        <w:ind w:firstLine="420"/>
        <w:rPr>
          <w:color w:val="000000" w:themeColor="text1"/>
        </w:rPr>
      </w:pPr>
      <w:r>
        <w:rPr>
          <w:color w:val="000000" w:themeColor="text1"/>
        </w:rPr>
        <w:t xml:space="preserve">GB/T 29647 </w:t>
      </w:r>
      <w:r>
        <w:rPr>
          <w:rFonts w:hint="eastAsia"/>
          <w:color w:val="000000" w:themeColor="text1"/>
        </w:rPr>
        <w:t xml:space="preserve"> </w:t>
      </w:r>
      <w:r>
        <w:rPr>
          <w:color w:val="000000" w:themeColor="text1"/>
        </w:rPr>
        <w:t>坚果与籽类炒货食品良好生产规范</w:t>
      </w:r>
    </w:p>
    <w:p w:rsidR="00B51C1F" w:rsidRDefault="00CE7E9F" w:rsidP="000E0B3F">
      <w:pPr>
        <w:ind w:firstLine="420"/>
        <w:rPr>
          <w:color w:val="000000" w:themeColor="text1"/>
        </w:rPr>
      </w:pPr>
      <w:r>
        <w:rPr>
          <w:color w:val="000000" w:themeColor="text1"/>
        </w:rPr>
        <w:t>NY/T 391</w:t>
      </w:r>
      <w:r>
        <w:rPr>
          <w:rFonts w:hint="eastAsia"/>
          <w:color w:val="000000" w:themeColor="text1"/>
        </w:rPr>
        <w:t xml:space="preserve"> </w:t>
      </w:r>
      <w:r>
        <w:rPr>
          <w:color w:val="000000" w:themeColor="text1"/>
        </w:rPr>
        <w:t xml:space="preserve"> </w:t>
      </w:r>
      <w:r>
        <w:rPr>
          <w:color w:val="000000" w:themeColor="text1"/>
        </w:rPr>
        <w:t>绿色食品</w:t>
      </w:r>
      <w:r>
        <w:rPr>
          <w:color w:val="000000" w:themeColor="text1"/>
        </w:rPr>
        <w:t xml:space="preserve"> </w:t>
      </w:r>
      <w:r>
        <w:rPr>
          <w:color w:val="000000" w:themeColor="text1"/>
        </w:rPr>
        <w:t>产地环境质量</w:t>
      </w:r>
    </w:p>
    <w:p w:rsidR="00B51C1F" w:rsidRDefault="00CE7E9F" w:rsidP="000E0B3F">
      <w:pPr>
        <w:ind w:firstLine="420"/>
        <w:rPr>
          <w:color w:val="000000" w:themeColor="text1"/>
        </w:rPr>
      </w:pPr>
      <w:r>
        <w:rPr>
          <w:color w:val="000000" w:themeColor="text1"/>
        </w:rPr>
        <w:t xml:space="preserve">NY/T 392 </w:t>
      </w:r>
      <w:r>
        <w:rPr>
          <w:rFonts w:hint="eastAsia"/>
          <w:color w:val="000000" w:themeColor="text1"/>
        </w:rPr>
        <w:t xml:space="preserve"> </w:t>
      </w:r>
      <w:r>
        <w:rPr>
          <w:color w:val="000000" w:themeColor="text1"/>
        </w:rPr>
        <w:t>绿色食品</w:t>
      </w:r>
      <w:r>
        <w:rPr>
          <w:color w:val="000000" w:themeColor="text1"/>
        </w:rPr>
        <w:t xml:space="preserve"> </w:t>
      </w:r>
      <w:r>
        <w:rPr>
          <w:color w:val="000000" w:themeColor="text1"/>
        </w:rPr>
        <w:t>食品添加剂使用准则</w:t>
      </w:r>
    </w:p>
    <w:p w:rsidR="00B51C1F" w:rsidRDefault="00CE7E9F" w:rsidP="000E0B3F">
      <w:pPr>
        <w:ind w:firstLine="420"/>
        <w:rPr>
          <w:color w:val="000000" w:themeColor="text1"/>
        </w:rPr>
      </w:pPr>
      <w:r>
        <w:rPr>
          <w:color w:val="000000" w:themeColor="text1"/>
        </w:rPr>
        <w:t xml:space="preserve">NY/T 658 </w:t>
      </w:r>
      <w:r>
        <w:rPr>
          <w:rFonts w:hint="eastAsia"/>
          <w:color w:val="000000" w:themeColor="text1"/>
        </w:rPr>
        <w:t xml:space="preserve"> </w:t>
      </w:r>
      <w:r>
        <w:rPr>
          <w:color w:val="000000" w:themeColor="text1"/>
        </w:rPr>
        <w:t>绿色食品</w:t>
      </w:r>
      <w:r>
        <w:rPr>
          <w:color w:val="000000" w:themeColor="text1"/>
        </w:rPr>
        <w:t xml:space="preserve"> </w:t>
      </w:r>
      <w:r>
        <w:rPr>
          <w:color w:val="000000" w:themeColor="text1"/>
        </w:rPr>
        <w:t>包装通用准则</w:t>
      </w:r>
    </w:p>
    <w:p w:rsidR="00B51C1F" w:rsidRDefault="00CE7E9F" w:rsidP="000E0B3F">
      <w:pPr>
        <w:ind w:firstLine="420"/>
        <w:rPr>
          <w:color w:val="000000" w:themeColor="text1"/>
        </w:rPr>
      </w:pPr>
      <w:r>
        <w:rPr>
          <w:color w:val="000000" w:themeColor="text1"/>
        </w:rPr>
        <w:t>NY/T</w:t>
      </w:r>
      <w:r>
        <w:rPr>
          <w:rFonts w:hint="eastAsia"/>
          <w:color w:val="000000" w:themeColor="text1"/>
        </w:rPr>
        <w:t xml:space="preserve"> 902  </w:t>
      </w:r>
      <w:r>
        <w:rPr>
          <w:color w:val="000000" w:themeColor="text1"/>
        </w:rPr>
        <w:t>绿色食品</w:t>
      </w:r>
      <w:r>
        <w:rPr>
          <w:color w:val="000000" w:themeColor="text1"/>
        </w:rPr>
        <w:t xml:space="preserve"> </w:t>
      </w:r>
      <w:r>
        <w:rPr>
          <w:rFonts w:hint="eastAsia"/>
          <w:color w:val="000000" w:themeColor="text1"/>
        </w:rPr>
        <w:t>瓜籽</w:t>
      </w:r>
    </w:p>
    <w:p w:rsidR="00B51C1F" w:rsidRDefault="00CE7E9F" w:rsidP="000E0B3F">
      <w:pPr>
        <w:ind w:firstLine="420"/>
        <w:rPr>
          <w:color w:val="000000" w:themeColor="text1"/>
        </w:rPr>
      </w:pPr>
      <w:r>
        <w:rPr>
          <w:color w:val="000000" w:themeColor="text1"/>
        </w:rPr>
        <w:t xml:space="preserve">NY/T 1056 </w:t>
      </w:r>
      <w:r>
        <w:rPr>
          <w:rFonts w:hint="eastAsia"/>
          <w:color w:val="000000" w:themeColor="text1"/>
        </w:rPr>
        <w:t xml:space="preserve"> </w:t>
      </w:r>
      <w:r>
        <w:rPr>
          <w:color w:val="000000" w:themeColor="text1"/>
        </w:rPr>
        <w:t>绿色食品</w:t>
      </w:r>
      <w:r>
        <w:rPr>
          <w:color w:val="000000" w:themeColor="text1"/>
        </w:rPr>
        <w:t xml:space="preserve"> </w:t>
      </w:r>
      <w:r>
        <w:rPr>
          <w:color w:val="000000" w:themeColor="text1"/>
        </w:rPr>
        <w:t>储藏运输准则</w:t>
      </w:r>
    </w:p>
    <w:p w:rsidR="00B51C1F" w:rsidRDefault="00CE7E9F" w:rsidP="000E0B3F">
      <w:pPr>
        <w:ind w:firstLine="420"/>
      </w:pPr>
      <w:r>
        <w:rPr>
          <w:color w:val="000000" w:themeColor="text1"/>
        </w:rPr>
        <w:t>NY/T 1</w:t>
      </w:r>
      <w:r>
        <w:rPr>
          <w:rFonts w:hint="eastAsia"/>
          <w:color w:val="000000" w:themeColor="text1"/>
        </w:rPr>
        <w:t>889</w:t>
      </w:r>
      <w:r>
        <w:rPr>
          <w:color w:val="000000" w:themeColor="text1"/>
        </w:rPr>
        <w:t xml:space="preserve"> </w:t>
      </w:r>
      <w:r>
        <w:rPr>
          <w:rFonts w:hint="eastAsia"/>
          <w:color w:val="000000" w:themeColor="text1"/>
        </w:rPr>
        <w:t xml:space="preserve"> </w:t>
      </w:r>
      <w:r>
        <w:rPr>
          <w:color w:val="000000" w:themeColor="text1"/>
        </w:rPr>
        <w:t>绿色食品</w:t>
      </w:r>
      <w:r>
        <w:rPr>
          <w:color w:val="000000" w:themeColor="text1"/>
        </w:rPr>
        <w:t xml:space="preserve"> </w:t>
      </w:r>
      <w:r>
        <w:rPr>
          <w:rFonts w:hint="eastAsia"/>
          <w:color w:val="000000" w:themeColor="text1"/>
        </w:rPr>
        <w:t>烘炒食品</w:t>
      </w:r>
    </w:p>
    <w:p w:rsidR="00B51C1F" w:rsidRDefault="00CE7E9F" w:rsidP="000E0B3F">
      <w:pPr>
        <w:pStyle w:val="1"/>
      </w:pPr>
      <w:r>
        <w:rPr>
          <w:rFonts w:hint="eastAsia"/>
        </w:rPr>
        <w:t>3 生产环境要求</w:t>
      </w:r>
    </w:p>
    <w:p w:rsidR="00B51C1F" w:rsidRDefault="00CE7E9F" w:rsidP="000E0B3F">
      <w:pPr>
        <w:pStyle w:val="2"/>
        <w:rPr>
          <w:rFonts w:hint="default"/>
        </w:rPr>
      </w:pPr>
      <w:r>
        <w:t>3.1 选址及厂区环境</w:t>
      </w:r>
    </w:p>
    <w:p w:rsidR="00B51C1F" w:rsidRDefault="00CE7E9F" w:rsidP="000E0B3F">
      <w:pPr>
        <w:ind w:firstLine="420"/>
      </w:pPr>
      <w:r>
        <w:t>应符合</w:t>
      </w:r>
      <w:r>
        <w:t>GB 14881</w:t>
      </w:r>
      <w:r>
        <w:t>和</w:t>
      </w:r>
      <w:r>
        <w:t>NY/T 391</w:t>
      </w:r>
      <w:r>
        <w:t>相关规定</w:t>
      </w:r>
      <w:r>
        <w:rPr>
          <w:rFonts w:hint="eastAsia"/>
        </w:rPr>
        <w:t>。厂房和生产车间应符合</w:t>
      </w:r>
      <w:r>
        <w:rPr>
          <w:rFonts w:hint="eastAsia"/>
        </w:rPr>
        <w:t>GB/T 29647</w:t>
      </w:r>
      <w:r>
        <w:rPr>
          <w:rFonts w:hint="eastAsia"/>
        </w:rPr>
        <w:t>相关规定，应定期对车间进行消毒及紫外杀菌</w:t>
      </w:r>
      <w:r>
        <w:t>。</w:t>
      </w:r>
    </w:p>
    <w:p w:rsidR="00B51C1F" w:rsidRDefault="00CE7E9F" w:rsidP="000E0B3F">
      <w:pPr>
        <w:pStyle w:val="2"/>
        <w:rPr>
          <w:rFonts w:hint="default"/>
        </w:rPr>
      </w:pPr>
      <w:r>
        <w:t>3.2</w:t>
      </w:r>
      <w:r w:rsidR="0085793B">
        <w:rPr>
          <w:rFonts w:hint="default"/>
        </w:rPr>
        <w:t xml:space="preserve"> </w:t>
      </w:r>
      <w:r>
        <w:t>设施与设备</w:t>
      </w:r>
    </w:p>
    <w:p w:rsidR="00B51C1F" w:rsidRDefault="00CE7E9F">
      <w:pPr>
        <w:pStyle w:val="10"/>
        <w:tabs>
          <w:tab w:val="left" w:pos="142"/>
        </w:tabs>
        <w:ind w:left="-1"/>
        <w:contextualSpacing/>
      </w:pPr>
      <w:r>
        <w:t>应符合</w:t>
      </w:r>
      <w:r>
        <w:t>GB 14881</w:t>
      </w:r>
      <w:r w:rsidR="00AF4245">
        <w:rPr>
          <w:rFonts w:hint="eastAsia"/>
        </w:rPr>
        <w:t>的</w:t>
      </w:r>
      <w:r>
        <w:t>规定。</w:t>
      </w:r>
    </w:p>
    <w:p w:rsidR="00B51C1F" w:rsidRDefault="00CE7E9F" w:rsidP="000E0B3F">
      <w:pPr>
        <w:pStyle w:val="2"/>
        <w:rPr>
          <w:rFonts w:hint="default"/>
        </w:rPr>
      </w:pPr>
      <w:r>
        <w:t>3.3 卫生要求</w:t>
      </w:r>
    </w:p>
    <w:p w:rsidR="00B51C1F" w:rsidRDefault="00CE7E9F">
      <w:pPr>
        <w:pStyle w:val="10"/>
        <w:tabs>
          <w:tab w:val="left" w:pos="142"/>
        </w:tabs>
        <w:contextualSpacing/>
        <w:rPr>
          <w:rFonts w:ascii="黑体" w:eastAsia="黑体" w:hAnsi="黑体" w:cs="黑体"/>
        </w:rPr>
      </w:pPr>
      <w:r>
        <w:rPr>
          <w:color w:val="000000" w:themeColor="text1"/>
        </w:rPr>
        <w:t>应符合</w:t>
      </w:r>
      <w:r>
        <w:rPr>
          <w:color w:val="000000" w:themeColor="text1"/>
        </w:rPr>
        <w:t>GB 8956</w:t>
      </w:r>
      <w:r>
        <w:rPr>
          <w:color w:val="000000" w:themeColor="text1"/>
        </w:rPr>
        <w:t>、</w:t>
      </w:r>
      <w:r>
        <w:rPr>
          <w:color w:val="000000" w:themeColor="text1"/>
        </w:rPr>
        <w:t>GB 14881</w:t>
      </w:r>
      <w:r>
        <w:rPr>
          <w:color w:val="000000" w:themeColor="text1"/>
        </w:rPr>
        <w:t>的规定。所选设备设施应符合绿色食品加工要求；与被加工原料、半成品、成品直接接触的零配件必须选用无污染材料；与被加工原料、半成品、成品直接接触的部位必须严禁漏油、渗油</w:t>
      </w:r>
      <w:r>
        <w:rPr>
          <w:rFonts w:ascii="黑体" w:eastAsia="黑体" w:hAnsi="黑体" w:cs="黑体"/>
        </w:rPr>
        <w:t>。</w:t>
      </w:r>
    </w:p>
    <w:p w:rsidR="00B51C1F" w:rsidRDefault="00CE7E9F" w:rsidP="000E0B3F">
      <w:pPr>
        <w:pStyle w:val="1"/>
      </w:pPr>
      <w:r>
        <w:rPr>
          <w:rFonts w:hint="eastAsia"/>
        </w:rPr>
        <w:t>4 原料要求</w:t>
      </w:r>
    </w:p>
    <w:p w:rsidR="00B51C1F" w:rsidRPr="000E0B3F" w:rsidRDefault="00CE7E9F" w:rsidP="000E0B3F">
      <w:pPr>
        <w:pStyle w:val="2"/>
        <w:rPr>
          <w:rFonts w:hint="default"/>
        </w:rPr>
      </w:pPr>
      <w:r>
        <w:t>4.1</w:t>
      </w:r>
      <w:r w:rsidR="0085793B">
        <w:rPr>
          <w:rFonts w:hint="default"/>
        </w:rPr>
        <w:t xml:space="preserve"> </w:t>
      </w:r>
      <w:r>
        <w:t>原料</w:t>
      </w:r>
    </w:p>
    <w:p w:rsidR="00AF4245" w:rsidRDefault="00AF4245" w:rsidP="000E0B3F">
      <w:pPr>
        <w:ind w:firstLine="420"/>
      </w:pPr>
      <w:r w:rsidRPr="00AA2D89">
        <w:rPr>
          <w:rFonts w:cs="Times New Roman" w:hint="eastAsia"/>
        </w:rPr>
        <w:lastRenderedPageBreak/>
        <w:t>配料中至少</w:t>
      </w:r>
      <w:r w:rsidRPr="00AA2D89">
        <w:rPr>
          <w:rFonts w:cs="Times New Roman"/>
        </w:rPr>
        <w:t>90%</w:t>
      </w:r>
      <w:r w:rsidRPr="00AA2D89">
        <w:rPr>
          <w:rFonts w:cs="Times New Roman" w:hint="eastAsia"/>
        </w:rPr>
        <w:t>（含）以上原料应</w:t>
      </w:r>
      <w:r>
        <w:rPr>
          <w:rFonts w:cs="Times New Roman" w:hint="eastAsia"/>
        </w:rPr>
        <w:t>是通过认定的绿色食品及其副产品，</w:t>
      </w:r>
      <w:r w:rsidRPr="006D627E">
        <w:rPr>
          <w:rFonts w:cs="Times New Roman" w:hint="eastAsia"/>
        </w:rPr>
        <w:t>或是按照绿色食品生产方式生产并经认定的原料基地生产的产品及其副产品</w:t>
      </w:r>
      <w:r w:rsidR="00C57893">
        <w:rPr>
          <w:rFonts w:cs="Times New Roman" w:hint="eastAsia"/>
        </w:rPr>
        <w:t>，</w:t>
      </w:r>
      <w:r w:rsidR="00C57893">
        <w:rPr>
          <w:rFonts w:hint="eastAsia"/>
        </w:rPr>
        <w:t>质量应符合</w:t>
      </w:r>
      <w:r w:rsidR="00C57893">
        <w:t>NY/T</w:t>
      </w:r>
      <w:r w:rsidR="00C57893">
        <w:rPr>
          <w:rFonts w:hint="eastAsia"/>
        </w:rPr>
        <w:t xml:space="preserve"> 902</w:t>
      </w:r>
      <w:r w:rsidR="00C57893">
        <w:rPr>
          <w:rFonts w:hint="eastAsia"/>
        </w:rPr>
        <w:t>规定</w:t>
      </w:r>
      <w:r w:rsidRPr="006D627E">
        <w:rPr>
          <w:rFonts w:cs="Times New Roman" w:hint="eastAsia"/>
        </w:rPr>
        <w:t>。</w:t>
      </w:r>
      <w:r w:rsidRPr="00AA2D89">
        <w:rPr>
          <w:rFonts w:cs="Times New Roman" w:hint="eastAsia"/>
        </w:rPr>
        <w:t>配料中</w:t>
      </w:r>
      <w:r>
        <w:rPr>
          <w:rFonts w:cs="Times New Roman" w:hint="eastAsia"/>
        </w:rPr>
        <w:t>其他</w:t>
      </w:r>
      <w:r w:rsidRPr="00AA2D89">
        <w:rPr>
          <w:rFonts w:cs="Times New Roman"/>
        </w:rPr>
        <w:t>10%</w:t>
      </w:r>
      <w:r w:rsidRPr="00AA2D89">
        <w:rPr>
          <w:rFonts w:cs="Times New Roman" w:hint="eastAsia"/>
        </w:rPr>
        <w:t>以下原料</w:t>
      </w:r>
      <w:r>
        <w:rPr>
          <w:rFonts w:cs="Times New Roman" w:hint="eastAsia"/>
        </w:rPr>
        <w:t>还应</w:t>
      </w:r>
      <w:r>
        <w:rPr>
          <w:rFonts w:cs="Times New Roman"/>
        </w:rPr>
        <w:t>符合</w:t>
      </w:r>
      <w:r w:rsidRPr="00AA2D89">
        <w:rPr>
          <w:rFonts w:cs="Times New Roman" w:hint="eastAsia"/>
        </w:rPr>
        <w:t>《绿色食品标志许可审查工作规范》</w:t>
      </w:r>
      <w:r>
        <w:rPr>
          <w:rFonts w:cs="Times New Roman" w:hint="eastAsia"/>
        </w:rPr>
        <w:t>第十三条的规定</w:t>
      </w:r>
      <w:r>
        <w:rPr>
          <w:rFonts w:cs="Times New Roman"/>
        </w:rPr>
        <w:t>。</w:t>
      </w:r>
    </w:p>
    <w:p w:rsidR="00B51C1F" w:rsidRDefault="00CE7E9F" w:rsidP="000E0B3F">
      <w:pPr>
        <w:pStyle w:val="2"/>
        <w:rPr>
          <w:rFonts w:hint="default"/>
        </w:rPr>
      </w:pPr>
      <w:r>
        <w:t>4.2</w:t>
      </w:r>
      <w:r w:rsidR="0085793B">
        <w:rPr>
          <w:rFonts w:hint="default"/>
        </w:rPr>
        <w:t xml:space="preserve"> </w:t>
      </w:r>
      <w:r>
        <w:t>食品添加剂</w:t>
      </w:r>
    </w:p>
    <w:p w:rsidR="00B51C1F" w:rsidRDefault="00CE7E9F" w:rsidP="000E0B3F">
      <w:pPr>
        <w:ind w:firstLine="420"/>
      </w:pPr>
      <w:r>
        <w:rPr>
          <w:rFonts w:hint="eastAsia"/>
        </w:rPr>
        <w:t>应符合</w:t>
      </w:r>
      <w:r>
        <w:rPr>
          <w:rFonts w:hint="eastAsia"/>
        </w:rPr>
        <w:t>NY/T 392</w:t>
      </w:r>
      <w:r>
        <w:rPr>
          <w:rFonts w:hint="eastAsia"/>
        </w:rPr>
        <w:t>和</w:t>
      </w:r>
      <w:r>
        <w:rPr>
          <w:rFonts w:hint="eastAsia"/>
        </w:rPr>
        <w:t>GB 14880</w:t>
      </w:r>
      <w:r>
        <w:rPr>
          <w:rFonts w:hint="eastAsia"/>
        </w:rPr>
        <w:t>的规定。</w:t>
      </w:r>
    </w:p>
    <w:p w:rsidR="00B51C1F" w:rsidRDefault="00CE7E9F" w:rsidP="000E0B3F">
      <w:pPr>
        <w:pStyle w:val="2"/>
        <w:rPr>
          <w:rFonts w:hint="default"/>
        </w:rPr>
      </w:pPr>
      <w:r>
        <w:t>4.3</w:t>
      </w:r>
      <w:r w:rsidR="0085793B">
        <w:rPr>
          <w:rFonts w:hint="default"/>
        </w:rPr>
        <w:t xml:space="preserve"> </w:t>
      </w:r>
      <w:r>
        <w:t>加工用水</w:t>
      </w:r>
    </w:p>
    <w:p w:rsidR="00B51C1F" w:rsidRDefault="00CE7E9F" w:rsidP="000E0B3F">
      <w:pPr>
        <w:ind w:firstLine="420"/>
        <w:rPr>
          <w:color w:val="000000" w:themeColor="text1"/>
        </w:rPr>
      </w:pPr>
      <w:r>
        <w:t>应符合</w:t>
      </w:r>
      <w:r>
        <w:rPr>
          <w:rFonts w:hint="eastAsia"/>
        </w:rPr>
        <w:t>NY/T 391</w:t>
      </w:r>
      <w:r>
        <w:rPr>
          <w:rFonts w:ascii="宋体" w:hAnsi="宋体" w:hint="eastAsia"/>
        </w:rPr>
        <w:t>和</w:t>
      </w:r>
      <w:r>
        <w:rPr>
          <w:rFonts w:hint="eastAsia"/>
        </w:rPr>
        <w:t>GB 5749</w:t>
      </w:r>
      <w:r>
        <w:t>的规定。</w:t>
      </w:r>
      <w:r>
        <w:rPr>
          <w:rFonts w:hint="eastAsia"/>
        </w:rPr>
        <w:t>水源来自于公共供水系统或非公共供水系统的地</w:t>
      </w:r>
      <w:r>
        <w:rPr>
          <w:color w:val="000000" w:themeColor="text1"/>
        </w:rPr>
        <w:t>下水、地表水等。</w:t>
      </w:r>
    </w:p>
    <w:p w:rsidR="00B51C1F" w:rsidRDefault="00CE7E9F" w:rsidP="000E0B3F">
      <w:pPr>
        <w:pStyle w:val="2"/>
        <w:rPr>
          <w:rFonts w:hint="default"/>
        </w:rPr>
      </w:pPr>
      <w:r>
        <w:t>4.4 采购、运输、验收、储存</w:t>
      </w:r>
    </w:p>
    <w:p w:rsidR="00B51C1F" w:rsidRDefault="00CE7E9F" w:rsidP="000E0B3F">
      <w:pPr>
        <w:ind w:firstLine="420"/>
      </w:pPr>
      <w:r>
        <w:t>原辅料的采购、运输、验收、储存应按照</w:t>
      </w:r>
      <w:r>
        <w:t>GB 31621</w:t>
      </w:r>
      <w:r>
        <w:t>规定执行。</w:t>
      </w:r>
    </w:p>
    <w:p w:rsidR="00B51C1F" w:rsidRDefault="00CE7E9F" w:rsidP="000E0B3F">
      <w:pPr>
        <w:pStyle w:val="1"/>
      </w:pPr>
      <w:r>
        <w:rPr>
          <w:rFonts w:hint="eastAsia"/>
        </w:rPr>
        <w:t>5 加工技术</w:t>
      </w:r>
    </w:p>
    <w:p w:rsidR="00B51C1F" w:rsidRDefault="00CE7E9F" w:rsidP="000E0B3F">
      <w:pPr>
        <w:pStyle w:val="2"/>
        <w:rPr>
          <w:rFonts w:hint="default"/>
        </w:rPr>
      </w:pPr>
      <w:r>
        <w:t>5.1工艺流程</w:t>
      </w:r>
    </w:p>
    <w:p w:rsidR="00B51C1F" w:rsidRDefault="00CE7E9F">
      <w:pPr>
        <w:pStyle w:val="10"/>
        <w:contextualSpacing/>
      </w:pPr>
      <w:r>
        <w:rPr>
          <w:rFonts w:hint="eastAsia"/>
        </w:rPr>
        <w:t>原料精选→炒制→清理介质→冷却→除尘除杂→色选→检测→包装→成品→入库</w:t>
      </w:r>
    </w:p>
    <w:p w:rsidR="00B51C1F" w:rsidRDefault="00CE7E9F">
      <w:pPr>
        <w:pStyle w:val="10"/>
        <w:contextualSpacing/>
      </w:pPr>
      <w:r>
        <w:rPr>
          <w:rFonts w:hint="eastAsia"/>
        </w:rPr>
        <w:t xml:space="preserve">                    </w:t>
      </w:r>
      <w:r>
        <w:rPr>
          <w:rFonts w:ascii="Arial" w:hAnsi="Arial" w:cs="Arial"/>
        </w:rPr>
        <w:t>↓</w:t>
      </w:r>
      <w:r>
        <w:rPr>
          <w:rFonts w:ascii="Arial" w:hAnsi="Arial" w:cs="Arial" w:hint="eastAsia"/>
        </w:rPr>
        <w:t xml:space="preserve">       </w:t>
      </w:r>
      <w:r>
        <w:rPr>
          <w:rFonts w:ascii="Arial" w:hAnsi="Arial" w:cs="Arial"/>
        </w:rPr>
        <w:t>↑</w:t>
      </w:r>
    </w:p>
    <w:p w:rsidR="00B51C1F" w:rsidRDefault="00CE7E9F">
      <w:pPr>
        <w:pStyle w:val="10"/>
        <w:contextualSpacing/>
      </w:pPr>
      <w:r>
        <w:rPr>
          <w:rFonts w:hint="eastAsia"/>
        </w:rPr>
        <w:t xml:space="preserve">                    </w:t>
      </w:r>
      <w:r>
        <w:rPr>
          <w:rFonts w:hint="eastAsia"/>
        </w:rPr>
        <w:t>配料、泼料</w:t>
      </w:r>
    </w:p>
    <w:p w:rsidR="00B51C1F" w:rsidRDefault="00CE7E9F" w:rsidP="000E0B3F">
      <w:pPr>
        <w:pStyle w:val="2"/>
        <w:rPr>
          <w:rFonts w:hint="default"/>
        </w:rPr>
      </w:pPr>
      <w:r>
        <w:t>5.2</w:t>
      </w:r>
      <w:r w:rsidR="0085793B">
        <w:rPr>
          <w:rFonts w:hint="default"/>
        </w:rPr>
        <w:t xml:space="preserve"> </w:t>
      </w:r>
      <w:r>
        <w:t>加工工艺</w:t>
      </w:r>
    </w:p>
    <w:p w:rsidR="00B51C1F" w:rsidRDefault="00CE7E9F" w:rsidP="000E0B3F">
      <w:pPr>
        <w:pStyle w:val="3"/>
      </w:pPr>
      <w:r>
        <w:rPr>
          <w:rFonts w:hint="eastAsia"/>
        </w:rPr>
        <w:t>5.2.1炒制</w:t>
      </w:r>
    </w:p>
    <w:p w:rsidR="00B51C1F" w:rsidRDefault="00CE7E9F" w:rsidP="000E0B3F">
      <w:pPr>
        <w:ind w:firstLine="420"/>
        <w:rPr>
          <w:lang w:bidi="ar"/>
        </w:rPr>
      </w:pPr>
      <w:r>
        <w:rPr>
          <w:rFonts w:hint="eastAsia"/>
          <w:lang w:bidi="ar"/>
        </w:rPr>
        <w:t>将粗盐或细砂在炒锅中加热至</w:t>
      </w:r>
      <w:r>
        <w:rPr>
          <w:rFonts w:hint="eastAsia"/>
          <w:lang w:bidi="ar"/>
        </w:rPr>
        <w:t>120</w:t>
      </w:r>
      <w:r>
        <w:rPr>
          <w:rFonts w:hint="eastAsia"/>
          <w:lang w:bidi="ar"/>
        </w:rPr>
        <w:t>～</w:t>
      </w:r>
      <w:r>
        <w:rPr>
          <w:rFonts w:hint="eastAsia"/>
          <w:lang w:bidi="ar"/>
        </w:rPr>
        <w:t>140</w:t>
      </w:r>
      <w:r>
        <w:rPr>
          <w:rFonts w:ascii="宋体" w:eastAsia="宋体" w:hAnsi="宋体" w:cs="宋体" w:hint="eastAsia"/>
        </w:rPr>
        <w:t>℃</w:t>
      </w:r>
      <w:r>
        <w:rPr>
          <w:rFonts w:hint="eastAsia"/>
          <w:lang w:bidi="ar"/>
        </w:rPr>
        <w:t>，放入瓜蒌籽持续翻炒。依次用小火预热</w:t>
      </w:r>
      <w:r>
        <w:rPr>
          <w:rFonts w:hint="eastAsia"/>
          <w:lang w:bidi="ar"/>
        </w:rPr>
        <w:t>3</w:t>
      </w:r>
      <w:r>
        <w:rPr>
          <w:rFonts w:hint="eastAsia"/>
          <w:lang w:bidi="ar"/>
        </w:rPr>
        <w:t>～</w:t>
      </w:r>
      <w:r>
        <w:rPr>
          <w:rFonts w:hint="eastAsia"/>
          <w:lang w:bidi="ar"/>
        </w:rPr>
        <w:t>5</w:t>
      </w:r>
      <w:r>
        <w:rPr>
          <w:rFonts w:hint="eastAsia"/>
          <w:lang w:bidi="ar"/>
        </w:rPr>
        <w:t>分钟、中火加热</w:t>
      </w:r>
      <w:r>
        <w:rPr>
          <w:rFonts w:hint="eastAsia"/>
          <w:lang w:bidi="ar"/>
        </w:rPr>
        <w:t>10</w:t>
      </w:r>
      <w:r>
        <w:rPr>
          <w:rFonts w:hint="eastAsia"/>
          <w:lang w:bidi="ar"/>
        </w:rPr>
        <w:t>分钟、大火提香</w:t>
      </w:r>
      <w:r>
        <w:rPr>
          <w:rFonts w:hint="eastAsia"/>
          <w:lang w:bidi="ar"/>
        </w:rPr>
        <w:t>3</w:t>
      </w:r>
      <w:r>
        <w:rPr>
          <w:rFonts w:hint="eastAsia"/>
          <w:lang w:bidi="ar"/>
        </w:rPr>
        <w:t>～</w:t>
      </w:r>
      <w:r>
        <w:rPr>
          <w:rFonts w:hint="eastAsia"/>
          <w:lang w:bidi="ar"/>
        </w:rPr>
        <w:t>5</w:t>
      </w:r>
      <w:r>
        <w:rPr>
          <w:rFonts w:hint="eastAsia"/>
          <w:lang w:bidi="ar"/>
        </w:rPr>
        <w:t>分钟，总时间约</w:t>
      </w:r>
      <w:r>
        <w:rPr>
          <w:rFonts w:hint="eastAsia"/>
          <w:lang w:bidi="ar"/>
        </w:rPr>
        <w:t>15</w:t>
      </w:r>
      <w:r>
        <w:rPr>
          <w:rFonts w:hint="eastAsia"/>
          <w:lang w:bidi="ar"/>
        </w:rPr>
        <w:t>～</w:t>
      </w:r>
      <w:r>
        <w:rPr>
          <w:rFonts w:hint="eastAsia"/>
          <w:lang w:bidi="ar"/>
        </w:rPr>
        <w:t>20</w:t>
      </w:r>
      <w:r>
        <w:rPr>
          <w:rFonts w:hint="eastAsia"/>
          <w:lang w:bidi="ar"/>
        </w:rPr>
        <w:t>分钟，可根据实际情况调整。待瓜蒌籽微鼓起，表面呈浅焦黄色，散发香气并伴有爆裂声时立即出锅。</w:t>
      </w:r>
    </w:p>
    <w:p w:rsidR="00B51C1F" w:rsidRDefault="00CE7E9F" w:rsidP="000E0B3F">
      <w:pPr>
        <w:pStyle w:val="3"/>
      </w:pPr>
      <w:r>
        <w:rPr>
          <w:rFonts w:hint="eastAsia"/>
        </w:rPr>
        <w:t>5.2.2</w:t>
      </w:r>
      <w:r w:rsidR="0085793B">
        <w:t xml:space="preserve"> </w:t>
      </w:r>
      <w:r>
        <w:rPr>
          <w:rFonts w:hint="eastAsia"/>
        </w:rPr>
        <w:t>清理介质</w:t>
      </w:r>
    </w:p>
    <w:p w:rsidR="00B51C1F" w:rsidRDefault="00CE7E9F" w:rsidP="000E0B3F">
      <w:pPr>
        <w:ind w:firstLine="420"/>
        <w:rPr>
          <w:lang w:bidi="ar"/>
        </w:rPr>
      </w:pPr>
      <w:r>
        <w:rPr>
          <w:rFonts w:hint="eastAsia"/>
          <w:lang w:bidi="ar"/>
        </w:rPr>
        <w:t>瓜蒌籽炒制后进入振动斗槽，去除炒制过程中使用的导热介质、碎籽仁等细小杂质，并输送到冷却端。</w:t>
      </w:r>
    </w:p>
    <w:p w:rsidR="00B51C1F" w:rsidRDefault="00CE7E9F" w:rsidP="000E0B3F">
      <w:pPr>
        <w:pStyle w:val="3"/>
      </w:pPr>
      <w:r>
        <w:rPr>
          <w:rFonts w:hint="eastAsia"/>
        </w:rPr>
        <w:t>5.2.3</w:t>
      </w:r>
      <w:r w:rsidR="0085793B">
        <w:t xml:space="preserve"> </w:t>
      </w:r>
      <w:r>
        <w:t>配料</w:t>
      </w:r>
      <w:r>
        <w:rPr>
          <w:rFonts w:hint="eastAsia"/>
        </w:rPr>
        <w:t>、泼料</w:t>
      </w:r>
    </w:p>
    <w:p w:rsidR="00B51C1F" w:rsidRDefault="00CE7E9F" w:rsidP="000E0B3F">
      <w:pPr>
        <w:ind w:firstLine="420"/>
        <w:rPr>
          <w:lang w:bidi="ar"/>
        </w:rPr>
      </w:pPr>
      <w:r>
        <w:rPr>
          <w:rFonts w:hint="eastAsia"/>
          <w:lang w:bidi="ar"/>
        </w:rPr>
        <w:t>原味瓜蒌籽不添加其他配料，直接进入冷却工艺环节。</w:t>
      </w:r>
    </w:p>
    <w:p w:rsidR="00B51C1F" w:rsidRDefault="00CE7E9F" w:rsidP="000E0B3F">
      <w:pPr>
        <w:ind w:firstLine="420"/>
        <w:rPr>
          <w:lang w:bidi="ar"/>
        </w:rPr>
      </w:pPr>
      <w:r>
        <w:rPr>
          <w:rFonts w:hint="eastAsia"/>
          <w:lang w:bidi="ar"/>
        </w:rPr>
        <w:t>其他口味瓜蒌籽可</w:t>
      </w:r>
      <w:r>
        <w:rPr>
          <w:lang w:bidi="ar"/>
        </w:rPr>
        <w:t>根据不同的配方配制浸料液，将辅料、食用盐、食用糖、食品添加剂按相应比例等加入煮锅进行熬制待用。</w:t>
      </w:r>
      <w:r>
        <w:t>将煮制</w:t>
      </w:r>
      <w:r>
        <w:rPr>
          <w:rFonts w:hint="eastAsia"/>
        </w:rPr>
        <w:t>好的浸料</w:t>
      </w:r>
      <w:r>
        <w:t>液烧开，</w:t>
      </w:r>
      <w:r>
        <w:rPr>
          <w:rFonts w:hint="eastAsia"/>
        </w:rPr>
        <w:t>稍凉并</w:t>
      </w:r>
      <w:r>
        <w:t>保持</w:t>
      </w:r>
      <w:r>
        <w:rPr>
          <w:rFonts w:hint="eastAsia"/>
        </w:rPr>
        <w:t>温度在</w:t>
      </w:r>
      <w:r>
        <w:rPr>
          <w:rFonts w:hint="eastAsia"/>
        </w:rPr>
        <w:t>85</w:t>
      </w:r>
      <w:r>
        <w:rPr>
          <w:rFonts w:hint="eastAsia"/>
        </w:rPr>
        <w:t>～</w:t>
      </w:r>
      <w:r>
        <w:t>9</w:t>
      </w:r>
      <w:r>
        <w:rPr>
          <w:rFonts w:hint="eastAsia"/>
        </w:rPr>
        <w:t>5</w:t>
      </w:r>
      <w:r>
        <w:rPr>
          <w:rFonts w:ascii="宋体" w:eastAsia="宋体" w:hAnsi="宋体" w:cs="宋体" w:hint="eastAsia"/>
        </w:rPr>
        <w:t>℃</w:t>
      </w:r>
      <w:r>
        <w:t>左右。</w:t>
      </w:r>
      <w:r>
        <w:rPr>
          <w:lang w:bidi="ar"/>
        </w:rPr>
        <w:t>将</w:t>
      </w:r>
      <w:r>
        <w:rPr>
          <w:rFonts w:hint="eastAsia"/>
          <w:lang w:bidi="ar"/>
        </w:rPr>
        <w:t>清理好介质的瓜蒌籽按</w:t>
      </w:r>
      <w:r>
        <w:rPr>
          <w:rFonts w:hint="eastAsia"/>
          <w:lang w:bidi="ar"/>
        </w:rPr>
        <w:t>10:1</w:t>
      </w:r>
      <w:r>
        <w:rPr>
          <w:rFonts w:hint="eastAsia"/>
        </w:rPr>
        <w:t>～</w:t>
      </w:r>
      <w:r>
        <w:rPr>
          <w:rFonts w:hint="eastAsia"/>
          <w:lang w:bidi="ar"/>
        </w:rPr>
        <w:t>12:1</w:t>
      </w:r>
      <w:r>
        <w:rPr>
          <w:rFonts w:hint="eastAsia"/>
          <w:lang w:bidi="ar"/>
        </w:rPr>
        <w:t>比例泼入</w:t>
      </w:r>
      <w:r>
        <w:rPr>
          <w:rFonts w:hint="eastAsia"/>
        </w:rPr>
        <w:t>浸料</w:t>
      </w:r>
      <w:r>
        <w:t>液</w:t>
      </w:r>
      <w:r>
        <w:rPr>
          <w:rFonts w:hint="eastAsia"/>
        </w:rPr>
        <w:t>，</w:t>
      </w:r>
      <w:r>
        <w:rPr>
          <w:lang w:bidi="ar"/>
        </w:rPr>
        <w:t>转动拌料锅，</w:t>
      </w:r>
      <w:r>
        <w:rPr>
          <w:rFonts w:hint="eastAsia"/>
          <w:lang w:bidi="ar"/>
        </w:rPr>
        <w:t>待</w:t>
      </w:r>
      <w:r>
        <w:rPr>
          <w:lang w:bidi="ar"/>
        </w:rPr>
        <w:t>充分拌匀</w:t>
      </w:r>
      <w:r>
        <w:rPr>
          <w:rFonts w:hint="eastAsia"/>
          <w:lang w:bidi="ar"/>
        </w:rPr>
        <w:t>后</w:t>
      </w:r>
      <w:r>
        <w:rPr>
          <w:lang w:bidi="ar"/>
        </w:rPr>
        <w:t>出锅冷却。</w:t>
      </w:r>
    </w:p>
    <w:p w:rsidR="00B51C1F" w:rsidRDefault="00CE7E9F" w:rsidP="000E0B3F">
      <w:pPr>
        <w:ind w:firstLine="420"/>
        <w:rPr>
          <w:lang w:bidi="ar"/>
        </w:rPr>
      </w:pPr>
      <w:r>
        <w:rPr>
          <w:rFonts w:hint="eastAsia"/>
          <w:lang w:bidi="ar"/>
        </w:rPr>
        <w:t>推荐</w:t>
      </w:r>
      <w:r>
        <w:rPr>
          <w:lang w:bidi="ar"/>
        </w:rPr>
        <w:t>椒盐</w:t>
      </w:r>
      <w:r>
        <w:rPr>
          <w:rFonts w:hint="eastAsia"/>
          <w:lang w:bidi="ar"/>
        </w:rPr>
        <w:t>/</w:t>
      </w:r>
      <w:r>
        <w:rPr>
          <w:rFonts w:hint="eastAsia"/>
          <w:lang w:bidi="ar"/>
        </w:rPr>
        <w:t>奶油</w:t>
      </w:r>
      <w:r>
        <w:rPr>
          <w:lang w:bidi="ar"/>
        </w:rPr>
        <w:t>味</w:t>
      </w:r>
      <w:r>
        <w:rPr>
          <w:rFonts w:hint="eastAsia"/>
          <w:lang w:bidi="ar"/>
        </w:rPr>
        <w:t>浸料液配方如下：</w:t>
      </w:r>
    </w:p>
    <w:p w:rsidR="00B51C1F" w:rsidRDefault="00CE7E9F" w:rsidP="000E0B3F">
      <w:pPr>
        <w:ind w:firstLine="420"/>
        <w:rPr>
          <w:lang w:bidi="ar"/>
        </w:rPr>
      </w:pPr>
      <w:r>
        <w:rPr>
          <w:lang w:bidi="ar"/>
        </w:rPr>
        <w:t>椒盐味浸料液：</w:t>
      </w:r>
      <w:r>
        <w:rPr>
          <w:lang w:bidi="ar"/>
        </w:rPr>
        <w:t>100kg</w:t>
      </w:r>
      <w:r>
        <w:rPr>
          <w:lang w:bidi="ar"/>
        </w:rPr>
        <w:t>水，食用盐</w:t>
      </w:r>
      <w:r>
        <w:rPr>
          <w:rFonts w:hint="eastAsia"/>
          <w:lang w:bidi="ar"/>
        </w:rPr>
        <w:t>4.5</w:t>
      </w:r>
      <w:r>
        <w:rPr>
          <w:rFonts w:hint="eastAsia"/>
        </w:rPr>
        <w:t>～</w:t>
      </w:r>
      <w:r>
        <w:rPr>
          <w:rFonts w:hint="eastAsia"/>
          <w:lang w:bidi="ar"/>
        </w:rPr>
        <w:t>5</w:t>
      </w:r>
      <w:r>
        <w:rPr>
          <w:lang w:bidi="ar"/>
        </w:rPr>
        <w:t>kg</w:t>
      </w:r>
      <w:r>
        <w:rPr>
          <w:lang w:bidi="ar"/>
        </w:rPr>
        <w:t>，花椒粉</w:t>
      </w:r>
      <w:r>
        <w:rPr>
          <w:lang w:bidi="ar"/>
        </w:rPr>
        <w:t>0.</w:t>
      </w:r>
      <w:r>
        <w:rPr>
          <w:rFonts w:hint="eastAsia"/>
          <w:lang w:bidi="ar"/>
        </w:rPr>
        <w:t>07</w:t>
      </w:r>
      <w:r>
        <w:rPr>
          <w:rFonts w:hint="eastAsia"/>
        </w:rPr>
        <w:t>～</w:t>
      </w:r>
      <w:r>
        <w:rPr>
          <w:lang w:bidi="ar"/>
        </w:rPr>
        <w:t>0.</w:t>
      </w:r>
      <w:r>
        <w:rPr>
          <w:rFonts w:hint="eastAsia"/>
          <w:lang w:bidi="ar"/>
        </w:rPr>
        <w:t>14</w:t>
      </w:r>
      <w:r>
        <w:rPr>
          <w:lang w:bidi="ar"/>
        </w:rPr>
        <w:t>kg</w:t>
      </w:r>
      <w:r>
        <w:rPr>
          <w:rFonts w:hint="eastAsia"/>
          <w:lang w:bidi="ar"/>
        </w:rPr>
        <w:t>，</w:t>
      </w:r>
      <w:r>
        <w:rPr>
          <w:lang w:bidi="ar"/>
        </w:rPr>
        <w:t>八角</w:t>
      </w:r>
      <w:r>
        <w:rPr>
          <w:lang w:bidi="ar"/>
        </w:rPr>
        <w:t>0.1</w:t>
      </w:r>
      <w:r>
        <w:rPr>
          <w:rFonts w:hint="eastAsia"/>
          <w:lang w:bidi="ar"/>
        </w:rPr>
        <w:t>4</w:t>
      </w:r>
      <w:r>
        <w:rPr>
          <w:rFonts w:hint="eastAsia"/>
        </w:rPr>
        <w:t>～</w:t>
      </w:r>
      <w:r>
        <w:rPr>
          <w:lang w:bidi="ar"/>
        </w:rPr>
        <w:t>0.</w:t>
      </w:r>
      <w:r>
        <w:rPr>
          <w:rFonts w:hint="eastAsia"/>
          <w:lang w:bidi="ar"/>
        </w:rPr>
        <w:t>21</w:t>
      </w:r>
      <w:r>
        <w:rPr>
          <w:lang w:bidi="ar"/>
        </w:rPr>
        <w:t>kg</w:t>
      </w:r>
      <w:r>
        <w:rPr>
          <w:lang w:bidi="ar"/>
        </w:rPr>
        <w:t>，小茴香</w:t>
      </w:r>
      <w:r>
        <w:rPr>
          <w:lang w:bidi="ar"/>
        </w:rPr>
        <w:t>0.</w:t>
      </w:r>
      <w:r>
        <w:rPr>
          <w:rFonts w:hint="eastAsia"/>
          <w:lang w:bidi="ar"/>
        </w:rPr>
        <w:t>2</w:t>
      </w:r>
      <w:r>
        <w:rPr>
          <w:lang w:bidi="ar"/>
        </w:rPr>
        <w:t>8</w:t>
      </w:r>
      <w:r>
        <w:rPr>
          <w:rFonts w:hint="eastAsia"/>
        </w:rPr>
        <w:t>～</w:t>
      </w:r>
      <w:r>
        <w:rPr>
          <w:lang w:bidi="ar"/>
        </w:rPr>
        <w:t>0.</w:t>
      </w:r>
      <w:r>
        <w:rPr>
          <w:rFonts w:hint="eastAsia"/>
          <w:lang w:bidi="ar"/>
        </w:rPr>
        <w:t>35</w:t>
      </w:r>
      <w:r>
        <w:rPr>
          <w:lang w:bidi="ar"/>
        </w:rPr>
        <w:t>kg</w:t>
      </w:r>
      <w:r>
        <w:rPr>
          <w:lang w:bidi="ar"/>
        </w:rPr>
        <w:t>，</w:t>
      </w:r>
      <w:r>
        <w:rPr>
          <w:rFonts w:hint="eastAsia"/>
          <w:lang w:bidi="ar"/>
        </w:rPr>
        <w:t>桂皮</w:t>
      </w:r>
      <w:r>
        <w:rPr>
          <w:rFonts w:hint="eastAsia"/>
          <w:lang w:bidi="ar"/>
        </w:rPr>
        <w:t>0.14</w:t>
      </w:r>
      <w:r>
        <w:rPr>
          <w:rFonts w:hint="eastAsia"/>
        </w:rPr>
        <w:t>～</w:t>
      </w:r>
      <w:r>
        <w:rPr>
          <w:lang w:bidi="ar"/>
        </w:rPr>
        <w:t>0.</w:t>
      </w:r>
      <w:r>
        <w:rPr>
          <w:rFonts w:hint="eastAsia"/>
          <w:lang w:bidi="ar"/>
        </w:rPr>
        <w:t>28</w:t>
      </w:r>
      <w:r>
        <w:rPr>
          <w:lang w:bidi="ar"/>
        </w:rPr>
        <w:t>kg</w:t>
      </w:r>
      <w:r>
        <w:rPr>
          <w:rFonts w:hint="eastAsia"/>
          <w:lang w:bidi="ar"/>
        </w:rPr>
        <w:t>。</w:t>
      </w:r>
    </w:p>
    <w:p w:rsidR="00B51C1F" w:rsidRDefault="00CE7E9F" w:rsidP="000E0B3F">
      <w:pPr>
        <w:ind w:firstLine="420"/>
        <w:rPr>
          <w:lang w:bidi="ar"/>
        </w:rPr>
      </w:pPr>
      <w:r>
        <w:rPr>
          <w:lang w:bidi="ar"/>
        </w:rPr>
        <w:t>奶油味浸料液：</w:t>
      </w:r>
      <w:r>
        <w:rPr>
          <w:lang w:bidi="ar"/>
        </w:rPr>
        <w:t>100kg</w:t>
      </w:r>
      <w:r>
        <w:rPr>
          <w:lang w:bidi="ar"/>
        </w:rPr>
        <w:t>水，食用盐</w:t>
      </w:r>
      <w:r>
        <w:rPr>
          <w:lang w:bidi="ar"/>
        </w:rPr>
        <w:t>0.8</w:t>
      </w:r>
      <w:r>
        <w:rPr>
          <w:rFonts w:hint="eastAsia"/>
        </w:rPr>
        <w:t>～</w:t>
      </w:r>
      <w:r>
        <w:rPr>
          <w:lang w:bidi="ar"/>
        </w:rPr>
        <w:t>1.0kg</w:t>
      </w:r>
      <w:r>
        <w:rPr>
          <w:lang w:bidi="ar"/>
        </w:rPr>
        <w:t>，</w:t>
      </w:r>
      <w:r>
        <w:rPr>
          <w:rFonts w:hint="eastAsia"/>
          <w:lang w:bidi="ar"/>
        </w:rPr>
        <w:t>三氯蔗糖</w:t>
      </w:r>
      <w:r>
        <w:rPr>
          <w:lang w:bidi="ar"/>
        </w:rPr>
        <w:t>0.</w:t>
      </w:r>
      <w:r>
        <w:rPr>
          <w:rFonts w:hint="eastAsia"/>
          <w:lang w:bidi="ar"/>
        </w:rPr>
        <w:t>06</w:t>
      </w:r>
      <w:r>
        <w:rPr>
          <w:lang w:bidi="ar"/>
        </w:rPr>
        <w:t>kg</w:t>
      </w:r>
      <w:r>
        <w:rPr>
          <w:lang w:bidi="ar"/>
        </w:rPr>
        <w:t>，</w:t>
      </w:r>
      <w:r>
        <w:rPr>
          <w:rFonts w:hint="eastAsia"/>
          <w:lang w:bidi="ar"/>
        </w:rPr>
        <w:t>安赛蜜</w:t>
      </w:r>
      <w:r>
        <w:rPr>
          <w:lang w:bidi="ar"/>
        </w:rPr>
        <w:t>0.</w:t>
      </w:r>
      <w:r>
        <w:rPr>
          <w:rFonts w:hint="eastAsia"/>
          <w:lang w:bidi="ar"/>
        </w:rPr>
        <w:t>5</w:t>
      </w:r>
      <w:r>
        <w:rPr>
          <w:lang w:bidi="ar"/>
        </w:rPr>
        <w:t>kg</w:t>
      </w:r>
      <w:r>
        <w:rPr>
          <w:lang w:bidi="ar"/>
        </w:rPr>
        <w:t>，食用糖</w:t>
      </w:r>
      <w:r>
        <w:rPr>
          <w:rFonts w:hint="eastAsia"/>
          <w:lang w:bidi="ar"/>
        </w:rPr>
        <w:t>1</w:t>
      </w:r>
      <w:r>
        <w:rPr>
          <w:rFonts w:hint="eastAsia"/>
        </w:rPr>
        <w:t>～</w:t>
      </w:r>
      <w:r>
        <w:rPr>
          <w:lang w:bidi="ar"/>
        </w:rPr>
        <w:t>1.</w:t>
      </w:r>
      <w:r>
        <w:rPr>
          <w:rFonts w:hint="eastAsia"/>
          <w:lang w:bidi="ar"/>
        </w:rPr>
        <w:t>5</w:t>
      </w:r>
      <w:r>
        <w:rPr>
          <w:lang w:bidi="ar"/>
        </w:rPr>
        <w:t>kg</w:t>
      </w:r>
      <w:r>
        <w:rPr>
          <w:lang w:bidi="ar"/>
        </w:rPr>
        <w:t>，食用盐</w:t>
      </w:r>
      <w:r>
        <w:rPr>
          <w:rFonts w:hint="eastAsia"/>
          <w:lang w:bidi="ar"/>
        </w:rPr>
        <w:t>4.5</w:t>
      </w:r>
      <w:r>
        <w:rPr>
          <w:rFonts w:hint="eastAsia"/>
        </w:rPr>
        <w:t>～</w:t>
      </w:r>
      <w:r>
        <w:rPr>
          <w:rFonts w:hint="eastAsia"/>
          <w:lang w:bidi="ar"/>
        </w:rPr>
        <w:t>5</w:t>
      </w:r>
      <w:r>
        <w:rPr>
          <w:lang w:bidi="ar"/>
        </w:rPr>
        <w:t>kg</w:t>
      </w:r>
      <w:r>
        <w:rPr>
          <w:lang w:bidi="ar"/>
        </w:rPr>
        <w:t>，</w:t>
      </w:r>
      <w:r>
        <w:rPr>
          <w:rFonts w:hint="eastAsia"/>
          <w:lang w:bidi="ar"/>
        </w:rPr>
        <w:t>食用</w:t>
      </w:r>
      <w:r>
        <w:rPr>
          <w:lang w:bidi="ar"/>
        </w:rPr>
        <w:t>香精</w:t>
      </w:r>
      <w:r>
        <w:rPr>
          <w:lang w:bidi="ar"/>
        </w:rPr>
        <w:t>0.</w:t>
      </w:r>
      <w:r>
        <w:rPr>
          <w:rFonts w:hint="eastAsia"/>
          <w:lang w:bidi="ar"/>
        </w:rPr>
        <w:t>7</w:t>
      </w:r>
      <w:r>
        <w:rPr>
          <w:rFonts w:hint="eastAsia"/>
        </w:rPr>
        <w:t>～</w:t>
      </w:r>
      <w:r>
        <w:rPr>
          <w:rFonts w:hint="eastAsia"/>
          <w:lang w:bidi="ar"/>
        </w:rPr>
        <w:t>1</w:t>
      </w:r>
      <w:r>
        <w:rPr>
          <w:lang w:bidi="ar"/>
        </w:rPr>
        <w:t>kg</w:t>
      </w:r>
      <w:r>
        <w:rPr>
          <w:lang w:bidi="ar"/>
        </w:rPr>
        <w:t>。</w:t>
      </w:r>
    </w:p>
    <w:p w:rsidR="00B51C1F" w:rsidRDefault="00CE7E9F" w:rsidP="000E0B3F">
      <w:pPr>
        <w:pStyle w:val="3"/>
      </w:pPr>
      <w:r>
        <w:rPr>
          <w:rFonts w:hint="eastAsia"/>
        </w:rPr>
        <w:lastRenderedPageBreak/>
        <w:t>5.2.4</w:t>
      </w:r>
      <w:r w:rsidR="0085793B">
        <w:t xml:space="preserve"> </w:t>
      </w:r>
      <w:r>
        <w:rPr>
          <w:rFonts w:hint="eastAsia"/>
        </w:rPr>
        <w:t>冷却</w:t>
      </w:r>
    </w:p>
    <w:p w:rsidR="00B51C1F" w:rsidRDefault="00CE7E9F" w:rsidP="000E0B3F">
      <w:pPr>
        <w:ind w:firstLine="420"/>
        <w:rPr>
          <w:lang w:bidi="ar"/>
        </w:rPr>
      </w:pPr>
      <w:r>
        <w:rPr>
          <w:rFonts w:hint="eastAsia"/>
          <w:lang w:bidi="ar"/>
        </w:rPr>
        <w:t>清理介质或泼料后的瓜蒌籽进入网带式冷却机或自然冷却进行降温，使温度迅速降低至室温。</w:t>
      </w:r>
    </w:p>
    <w:p w:rsidR="00B51C1F" w:rsidRDefault="00CE7E9F" w:rsidP="000E0B3F">
      <w:pPr>
        <w:pStyle w:val="3"/>
      </w:pPr>
      <w:r>
        <w:rPr>
          <w:rFonts w:hint="eastAsia"/>
        </w:rPr>
        <w:t>5.2.5</w:t>
      </w:r>
      <w:r w:rsidR="0085793B">
        <w:t xml:space="preserve"> </w:t>
      </w:r>
      <w:r>
        <w:rPr>
          <w:rFonts w:hint="eastAsia"/>
        </w:rPr>
        <w:t>除尘除杂</w:t>
      </w:r>
    </w:p>
    <w:p w:rsidR="00B51C1F" w:rsidRDefault="00CE7E9F" w:rsidP="000E0B3F">
      <w:pPr>
        <w:ind w:firstLine="420"/>
        <w:rPr>
          <w:lang w:bidi="ar"/>
        </w:rPr>
      </w:pPr>
      <w:r>
        <w:rPr>
          <w:rFonts w:hint="eastAsia"/>
          <w:lang w:bidi="ar"/>
        </w:rPr>
        <w:t>冷却后的瓜蒌籽进入振动筛进行除杂，再进入除尘风机除去壳、灰尘等杂质。</w:t>
      </w:r>
    </w:p>
    <w:p w:rsidR="00B51C1F" w:rsidRDefault="00CE7E9F" w:rsidP="000E0B3F">
      <w:pPr>
        <w:pStyle w:val="3"/>
      </w:pPr>
      <w:r>
        <w:rPr>
          <w:rFonts w:hint="eastAsia"/>
        </w:rPr>
        <w:t>5.2.6</w:t>
      </w:r>
      <w:r w:rsidR="0085793B">
        <w:t xml:space="preserve"> </w:t>
      </w:r>
      <w:r>
        <w:rPr>
          <w:rFonts w:hint="eastAsia"/>
        </w:rPr>
        <w:t>色选</w:t>
      </w:r>
    </w:p>
    <w:p w:rsidR="00B51C1F" w:rsidRDefault="00CE7E9F" w:rsidP="000E0B3F">
      <w:pPr>
        <w:ind w:firstLine="420"/>
        <w:rPr>
          <w:lang w:bidi="ar"/>
        </w:rPr>
      </w:pPr>
      <w:r>
        <w:rPr>
          <w:rFonts w:hint="eastAsia"/>
          <w:lang w:bidi="ar"/>
        </w:rPr>
        <w:t>除尘除杂后的瓜蒌籽进入色选机，剔除非正常的籽粒和异物等。</w:t>
      </w:r>
    </w:p>
    <w:p w:rsidR="00B51C1F" w:rsidRDefault="00CE7E9F" w:rsidP="000E0B3F">
      <w:pPr>
        <w:pStyle w:val="3"/>
      </w:pPr>
      <w:r>
        <w:rPr>
          <w:rFonts w:hint="eastAsia"/>
        </w:rPr>
        <w:t>5.2.7</w:t>
      </w:r>
      <w:r w:rsidR="0085793B">
        <w:t xml:space="preserve"> </w:t>
      </w:r>
      <w:r>
        <w:rPr>
          <w:rFonts w:hint="eastAsia"/>
        </w:rPr>
        <w:t>检测</w:t>
      </w:r>
    </w:p>
    <w:p w:rsidR="00B51C1F" w:rsidRDefault="00CE7E9F" w:rsidP="000E0B3F">
      <w:pPr>
        <w:ind w:firstLine="420"/>
        <w:rPr>
          <w:kern w:val="0"/>
          <w:lang w:bidi="ar"/>
        </w:rPr>
      </w:pPr>
      <w:r>
        <w:rPr>
          <w:rFonts w:hint="eastAsia"/>
        </w:rPr>
        <w:t>瓜蒌籽</w:t>
      </w:r>
      <w:r>
        <w:t>的</w:t>
      </w:r>
      <w:r>
        <w:rPr>
          <w:rFonts w:hint="eastAsia"/>
        </w:rPr>
        <w:t>产品检测</w:t>
      </w:r>
      <w:r>
        <w:t>应符合</w:t>
      </w:r>
      <w:r>
        <w:t>NY/T 1</w:t>
      </w:r>
      <w:r>
        <w:rPr>
          <w:rFonts w:hint="eastAsia"/>
        </w:rPr>
        <w:t>889</w:t>
      </w:r>
      <w:r>
        <w:rPr>
          <w:rFonts w:hint="eastAsia"/>
        </w:rPr>
        <w:t>规定</w:t>
      </w:r>
      <w:r>
        <w:rPr>
          <w:rFonts w:hint="eastAsia"/>
          <w:kern w:val="0"/>
          <w:lang w:bidi="ar"/>
        </w:rPr>
        <w:t>。</w:t>
      </w:r>
    </w:p>
    <w:p w:rsidR="00B51C1F" w:rsidRDefault="00CE7E9F" w:rsidP="000E0B3F">
      <w:pPr>
        <w:pStyle w:val="3"/>
      </w:pPr>
      <w:r>
        <w:rPr>
          <w:rFonts w:hint="eastAsia"/>
        </w:rPr>
        <w:t>5.2.8</w:t>
      </w:r>
      <w:r w:rsidR="0085793B">
        <w:t xml:space="preserve"> </w:t>
      </w:r>
      <w:r>
        <w:rPr>
          <w:rFonts w:hint="eastAsia"/>
        </w:rPr>
        <w:t>包装</w:t>
      </w:r>
    </w:p>
    <w:p w:rsidR="00B51C1F" w:rsidRDefault="00CE7E9F" w:rsidP="000E0B3F">
      <w:pPr>
        <w:ind w:firstLine="420"/>
        <w:rPr>
          <w:lang w:bidi="ar"/>
        </w:rPr>
      </w:pPr>
      <w:r>
        <w:rPr>
          <w:rFonts w:hint="eastAsia"/>
          <w:lang w:bidi="ar"/>
        </w:rPr>
        <w:t>将炒制后的瓜蒌籽冷却至室温后，即可按不同规格进行包装。</w:t>
      </w:r>
    </w:p>
    <w:p w:rsidR="00B51C1F" w:rsidRDefault="00CE7E9F" w:rsidP="000E0B3F">
      <w:pPr>
        <w:pStyle w:val="3"/>
      </w:pPr>
      <w:r>
        <w:rPr>
          <w:rFonts w:hint="eastAsia"/>
        </w:rPr>
        <w:t>5.2.9 储藏</w:t>
      </w:r>
    </w:p>
    <w:p w:rsidR="00B51C1F" w:rsidRDefault="00CE7E9F" w:rsidP="000E0B3F">
      <w:pPr>
        <w:ind w:firstLine="420"/>
        <w:rPr>
          <w:lang w:bidi="ar"/>
        </w:rPr>
      </w:pPr>
      <w:r>
        <w:rPr>
          <w:rFonts w:hint="eastAsia"/>
          <w:lang w:bidi="ar"/>
        </w:rPr>
        <w:t>储藏环境阴凉、通风、干燥、清洁、卫生，有防潮、防鼠、防虫设施，离地离墙存放，产品应分类存放，标识清楚。不应与有污染的货物一同储藏。储藏环境</w:t>
      </w:r>
      <w:r>
        <w:rPr>
          <w:rFonts w:hint="eastAsia"/>
          <w:color w:val="000000" w:themeColor="text1"/>
        </w:rPr>
        <w:t>应符合</w:t>
      </w:r>
      <w:r>
        <w:rPr>
          <w:color w:val="000000" w:themeColor="text1"/>
        </w:rPr>
        <w:t xml:space="preserve">NY/T </w:t>
      </w:r>
      <w:r>
        <w:rPr>
          <w:rFonts w:hint="eastAsia"/>
          <w:color w:val="000000" w:themeColor="text1"/>
        </w:rPr>
        <w:t>1056</w:t>
      </w:r>
      <w:r>
        <w:rPr>
          <w:rFonts w:hint="eastAsia"/>
          <w:color w:val="000000" w:themeColor="text1"/>
        </w:rPr>
        <w:t>规定。</w:t>
      </w:r>
    </w:p>
    <w:p w:rsidR="00B51C1F" w:rsidRDefault="00CE7E9F" w:rsidP="000E0B3F">
      <w:pPr>
        <w:pStyle w:val="1"/>
      </w:pPr>
      <w:r>
        <w:rPr>
          <w:rFonts w:hint="eastAsia"/>
        </w:rPr>
        <w:t>6 平行生产管理</w:t>
      </w:r>
    </w:p>
    <w:p w:rsidR="00B51C1F" w:rsidRDefault="00CE7E9F" w:rsidP="000E0B3F">
      <w:pPr>
        <w:pStyle w:val="2"/>
        <w:rPr>
          <w:rFonts w:hint="default"/>
        </w:rPr>
      </w:pPr>
      <w:r>
        <w:t>6.1</w:t>
      </w:r>
      <w:r w:rsidR="0085793B">
        <w:rPr>
          <w:rFonts w:hint="default"/>
        </w:rPr>
        <w:t xml:space="preserve"> </w:t>
      </w:r>
      <w:r>
        <w:t>加工车间管理</w:t>
      </w:r>
    </w:p>
    <w:p w:rsidR="00B51C1F" w:rsidRDefault="00CE7E9F" w:rsidP="000E0B3F">
      <w:pPr>
        <w:ind w:firstLine="420"/>
        <w:rPr>
          <w:lang w:bidi="ar"/>
        </w:rPr>
      </w:pPr>
      <w:r>
        <w:rPr>
          <w:rFonts w:hint="eastAsia"/>
          <w:lang w:bidi="ar"/>
        </w:rPr>
        <w:t>绿色食品加工需由专人负责，并优先排产或专线生产。加工时间须与常规食品隔离，且每次加工前后必须对设备、工具和容器进行彻底清洗，以防交叉污染。</w:t>
      </w:r>
    </w:p>
    <w:p w:rsidR="00B51C1F" w:rsidRDefault="00CE7E9F" w:rsidP="000E0B3F">
      <w:pPr>
        <w:pStyle w:val="2"/>
        <w:rPr>
          <w:rFonts w:hint="default"/>
        </w:rPr>
      </w:pPr>
      <w:r>
        <w:t>6.2</w:t>
      </w:r>
      <w:r w:rsidR="0085793B">
        <w:rPr>
          <w:rFonts w:hint="default"/>
        </w:rPr>
        <w:t xml:space="preserve"> </w:t>
      </w:r>
      <w:r>
        <w:t>原料、配料管理</w:t>
      </w:r>
    </w:p>
    <w:p w:rsidR="00B51C1F" w:rsidRDefault="00CE7E9F" w:rsidP="000E0B3F">
      <w:pPr>
        <w:ind w:firstLine="420"/>
        <w:rPr>
          <w:lang w:bidi="ar"/>
        </w:rPr>
      </w:pPr>
      <w:r>
        <w:rPr>
          <w:rFonts w:hint="eastAsia"/>
          <w:lang w:bidi="ar"/>
        </w:rPr>
        <w:t>绿色食品和常规食品的加工原料和成品分开存放，明确标识。在加工过程使用的加工辅料，应符合绿色食品生产管理要求。</w:t>
      </w:r>
    </w:p>
    <w:p w:rsidR="00B51C1F" w:rsidRDefault="00CE7E9F" w:rsidP="000E0B3F">
      <w:pPr>
        <w:pStyle w:val="2"/>
        <w:rPr>
          <w:rFonts w:hint="default"/>
        </w:rPr>
      </w:pPr>
      <w:r>
        <w:t>6.3</w:t>
      </w:r>
      <w:r w:rsidR="0085793B">
        <w:rPr>
          <w:rFonts w:hint="default"/>
        </w:rPr>
        <w:t xml:space="preserve"> </w:t>
      </w:r>
      <w:r>
        <w:t>人员管理</w:t>
      </w:r>
    </w:p>
    <w:p w:rsidR="00B51C1F" w:rsidRDefault="00CE7E9F" w:rsidP="000E0B3F">
      <w:pPr>
        <w:ind w:firstLine="420"/>
        <w:rPr>
          <w:kern w:val="0"/>
          <w:lang w:bidi="ar"/>
        </w:rPr>
      </w:pPr>
      <w:r>
        <w:rPr>
          <w:rFonts w:hint="eastAsia"/>
        </w:rPr>
        <w:t>从事与绿色食品加工有关的人员的健康管理与卫生要求应符合</w:t>
      </w:r>
      <w:r>
        <w:rPr>
          <w:rFonts w:hint="eastAsia"/>
        </w:rPr>
        <w:t>GB 14881</w:t>
      </w:r>
      <w:r>
        <w:rPr>
          <w:rFonts w:hint="eastAsia"/>
        </w:rPr>
        <w:t>规定。加工车间</w:t>
      </w:r>
      <w:r>
        <w:t>尽量减少人员出入，进入车间必须</w:t>
      </w:r>
      <w:r>
        <w:rPr>
          <w:rFonts w:hint="eastAsia"/>
        </w:rPr>
        <w:t>穿清洁工作服，戴无菌手套和口罩。</w:t>
      </w:r>
      <w:r>
        <w:t>人员上岗前须经绿色食品加工知识培训，熟练掌握绿色食品</w:t>
      </w:r>
      <w:r>
        <w:rPr>
          <w:rFonts w:hint="eastAsia"/>
        </w:rPr>
        <w:t>瓜蒌籽</w:t>
      </w:r>
      <w:r>
        <w:t>的加工要求。应配备食品安全专业技术和管理人员，定期检查绿色食品与常规食品生产管理工作，并做好相应记录。</w:t>
      </w:r>
    </w:p>
    <w:p w:rsidR="00B51C1F" w:rsidRDefault="00CE7E9F" w:rsidP="000E0B3F">
      <w:pPr>
        <w:pStyle w:val="2"/>
        <w:rPr>
          <w:rFonts w:hint="default"/>
        </w:rPr>
      </w:pPr>
      <w:r>
        <w:t>6.4</w:t>
      </w:r>
      <w:r w:rsidR="0085793B">
        <w:rPr>
          <w:rFonts w:hint="default"/>
        </w:rPr>
        <w:t xml:space="preserve"> </w:t>
      </w:r>
      <w:r>
        <w:t>记录与追溯管理</w:t>
      </w:r>
    </w:p>
    <w:p w:rsidR="00B51C1F" w:rsidRDefault="00CE7E9F" w:rsidP="000E0B3F">
      <w:pPr>
        <w:ind w:firstLine="420"/>
        <w:rPr>
          <w:lang w:bidi="ar"/>
        </w:rPr>
      </w:pPr>
      <w:r>
        <w:rPr>
          <w:rFonts w:hint="eastAsia"/>
          <w:lang w:bidi="ar"/>
        </w:rPr>
        <w:t>按照生产加工企业追溯制度要求建立产品加工记录，绿色食品应有独立的记录，追溯编号信息应明确，区分于常规食品。</w:t>
      </w:r>
    </w:p>
    <w:p w:rsidR="00B51C1F" w:rsidRDefault="00CE7E9F" w:rsidP="000E0B3F">
      <w:pPr>
        <w:pStyle w:val="1"/>
      </w:pPr>
      <w:r>
        <w:rPr>
          <w:rFonts w:hint="eastAsia"/>
        </w:rPr>
        <w:t>7 包装和标识</w:t>
      </w:r>
    </w:p>
    <w:p w:rsidR="00B51C1F" w:rsidRDefault="00CE7E9F" w:rsidP="000E0B3F">
      <w:pPr>
        <w:ind w:firstLine="420"/>
      </w:pPr>
      <w:r>
        <w:rPr>
          <w:rFonts w:hint="eastAsia"/>
        </w:rPr>
        <w:t>应符合</w:t>
      </w:r>
      <w:r w:rsidR="00AF4245">
        <w:rPr>
          <w:color w:val="000000" w:themeColor="text1"/>
        </w:rPr>
        <w:t>GB 7718</w:t>
      </w:r>
      <w:r w:rsidR="00AF4245">
        <w:rPr>
          <w:rFonts w:hint="eastAsia"/>
          <w:color w:val="000000" w:themeColor="text1"/>
        </w:rPr>
        <w:t>、</w:t>
      </w:r>
      <w:r w:rsidR="00AF4245">
        <w:rPr>
          <w:color w:val="000000" w:themeColor="text1"/>
        </w:rPr>
        <w:t>GB 28050</w:t>
      </w:r>
      <w:r w:rsidR="00AF4245">
        <w:rPr>
          <w:rFonts w:hint="eastAsia"/>
          <w:color w:val="000000" w:themeColor="text1"/>
        </w:rPr>
        <w:t>和</w:t>
      </w:r>
      <w:r>
        <w:rPr>
          <w:rFonts w:hint="eastAsia"/>
        </w:rPr>
        <w:t>NY/T 658</w:t>
      </w:r>
      <w:r>
        <w:rPr>
          <w:rFonts w:hint="eastAsia"/>
        </w:rPr>
        <w:t>的规定。</w:t>
      </w:r>
      <w:r>
        <w:rPr>
          <w:rFonts w:ascii="宋体" w:hAnsi="宋体" w:hint="eastAsia"/>
          <w:color w:val="000000"/>
        </w:rPr>
        <w:t>绿色食品</w:t>
      </w:r>
      <w:r>
        <w:rPr>
          <w:rFonts w:hint="eastAsia"/>
        </w:rPr>
        <w:t>包装</w:t>
      </w:r>
      <w:r>
        <w:t>应</w:t>
      </w:r>
      <w:r>
        <w:rPr>
          <w:rFonts w:hint="eastAsia"/>
        </w:rPr>
        <w:t>安全</w:t>
      </w:r>
      <w:r>
        <w:t>卫生</w:t>
      </w:r>
      <w:r>
        <w:rPr>
          <w:rFonts w:hint="eastAsia"/>
        </w:rPr>
        <w:t>，包装的使用应实</w:t>
      </w:r>
      <w:r w:rsidR="005208F5">
        <w:rPr>
          <w:rFonts w:hint="eastAsia"/>
        </w:rPr>
        <w:t>行减量化，宜使用可重复使用、可回收利用或生物降解的环保包装材料</w:t>
      </w:r>
      <w:r>
        <w:rPr>
          <w:rFonts w:ascii="宋体" w:hAnsi="宋体" w:hint="eastAsia"/>
          <w:color w:val="000000"/>
        </w:rPr>
        <w:t>。</w:t>
      </w:r>
    </w:p>
    <w:p w:rsidR="00B51C1F" w:rsidRDefault="00CE7E9F" w:rsidP="000E0B3F">
      <w:pPr>
        <w:pStyle w:val="1"/>
        <w:rPr>
          <w:kern w:val="0"/>
          <w:lang w:bidi="ar"/>
        </w:rPr>
      </w:pPr>
      <w:r>
        <w:rPr>
          <w:rFonts w:hint="eastAsia"/>
        </w:rPr>
        <w:lastRenderedPageBreak/>
        <w:t>8</w:t>
      </w:r>
      <w:r w:rsidR="0085793B">
        <w:t xml:space="preserve"> </w:t>
      </w:r>
      <w:r>
        <w:rPr>
          <w:rFonts w:hint="eastAsia"/>
        </w:rPr>
        <w:t>储藏与运输</w:t>
      </w:r>
    </w:p>
    <w:p w:rsidR="00B51C1F" w:rsidRDefault="00CE7E9F" w:rsidP="000E0B3F">
      <w:pPr>
        <w:pStyle w:val="2"/>
        <w:rPr>
          <w:rFonts w:hint="default"/>
        </w:rPr>
      </w:pPr>
      <w:r>
        <w:t>8.1</w:t>
      </w:r>
      <w:r w:rsidR="0085793B">
        <w:rPr>
          <w:rFonts w:hint="default"/>
        </w:rPr>
        <w:t xml:space="preserve"> </w:t>
      </w:r>
      <w:r>
        <w:t>成品运输</w:t>
      </w:r>
    </w:p>
    <w:p w:rsidR="00B51C1F" w:rsidRDefault="00CE7E9F" w:rsidP="000E0B3F">
      <w:pPr>
        <w:ind w:firstLine="420"/>
        <w:rPr>
          <w:kern w:val="0"/>
          <w:lang w:bidi="ar"/>
        </w:rPr>
      </w:pPr>
      <w:r>
        <w:t>应符合</w:t>
      </w:r>
      <w:r>
        <w:rPr>
          <w:rFonts w:cs="宋体" w:hint="eastAsia"/>
          <w:lang w:val="hu-HU" w:eastAsia="hu-HU" w:bidi="hu-HU"/>
        </w:rPr>
        <w:t>NY/T 1056</w:t>
      </w:r>
      <w:r>
        <w:t>的要求。</w:t>
      </w:r>
      <w:r>
        <w:rPr>
          <w:rFonts w:hAnsi="宋体"/>
        </w:rPr>
        <w:t>绿色食品成品</w:t>
      </w:r>
      <w:r>
        <w:t>运输</w:t>
      </w:r>
      <w:r>
        <w:rPr>
          <w:rFonts w:hint="eastAsia"/>
        </w:rPr>
        <w:t>工具应专用，绿色</w:t>
      </w:r>
      <w:r>
        <w:t>食品</w:t>
      </w:r>
      <w:r>
        <w:rPr>
          <w:rFonts w:hint="eastAsia"/>
        </w:rPr>
        <w:t>与非绿色食品</w:t>
      </w:r>
      <w:r>
        <w:t>运输时</w:t>
      </w:r>
      <w:r>
        <w:rPr>
          <w:rFonts w:hint="eastAsia"/>
        </w:rPr>
        <w:t>应</w:t>
      </w:r>
      <w:r>
        <w:t>严格分开</w:t>
      </w:r>
      <w:r>
        <w:rPr>
          <w:rFonts w:hint="eastAsia"/>
        </w:rPr>
        <w:t>。</w:t>
      </w:r>
      <w:r>
        <w:rPr>
          <w:rFonts w:hint="eastAsia"/>
          <w:kern w:val="0"/>
          <w:lang w:bidi="ar"/>
        </w:rPr>
        <w:t>运输工具应清洁、卫生，不得与有毒、有害、有腐蚀性和易挥发、有异味的物质混装混运。</w:t>
      </w:r>
    </w:p>
    <w:p w:rsidR="00B51C1F" w:rsidRDefault="00CE7E9F" w:rsidP="000E0B3F">
      <w:pPr>
        <w:pStyle w:val="2"/>
        <w:rPr>
          <w:rFonts w:hint="default"/>
        </w:rPr>
      </w:pPr>
      <w:r>
        <w:t>8.2</w:t>
      </w:r>
      <w:r w:rsidR="0085793B">
        <w:rPr>
          <w:rFonts w:hint="default"/>
        </w:rPr>
        <w:t xml:space="preserve"> </w:t>
      </w:r>
      <w:r>
        <w:t>成品储藏</w:t>
      </w:r>
    </w:p>
    <w:p w:rsidR="00B51C1F" w:rsidRDefault="00CE7E9F">
      <w:pPr>
        <w:pStyle w:val="10"/>
        <w:contextualSpacing/>
        <w:rPr>
          <w:kern w:val="0"/>
          <w:lang w:bidi="ar"/>
        </w:rPr>
      </w:pPr>
      <w:r>
        <w:rPr>
          <w:rFonts w:hint="eastAsia"/>
          <w:kern w:val="0"/>
          <w:lang w:bidi="ar"/>
        </w:rPr>
        <w:t>应符合</w:t>
      </w:r>
      <w:r>
        <w:rPr>
          <w:rFonts w:hint="eastAsia"/>
          <w:kern w:val="0"/>
          <w:lang w:bidi="ar"/>
        </w:rPr>
        <w:t>NY/T 1056</w:t>
      </w:r>
      <w:r>
        <w:rPr>
          <w:rFonts w:hint="eastAsia"/>
          <w:kern w:val="0"/>
          <w:lang w:bidi="ar"/>
        </w:rPr>
        <w:t>规定。</w:t>
      </w:r>
      <w:r>
        <w:rPr>
          <w:rFonts w:hint="eastAsia"/>
        </w:rPr>
        <w:t>绿色食品</w:t>
      </w:r>
      <w:r>
        <w:t>成品储存应设置明显标识，</w:t>
      </w:r>
      <w:r>
        <w:rPr>
          <w:rFonts w:hint="eastAsia"/>
        </w:rPr>
        <w:t>不应与非绿色食品混放。</w:t>
      </w:r>
      <w:r>
        <w:rPr>
          <w:rFonts w:hint="eastAsia"/>
          <w:kern w:val="0"/>
          <w:lang w:bidi="ar"/>
        </w:rPr>
        <w:t>应储藏在干燥、防潮、避光的库房中。最适宜的储藏温度为</w:t>
      </w:r>
      <w:r>
        <w:rPr>
          <w:rFonts w:hint="eastAsia"/>
          <w:kern w:val="0"/>
          <w:lang w:bidi="ar"/>
        </w:rPr>
        <w:t>20</w:t>
      </w:r>
      <w:r>
        <w:t>℃</w:t>
      </w:r>
      <w:r>
        <w:rPr>
          <w:rFonts w:hint="eastAsia"/>
          <w:kern w:val="0"/>
          <w:lang w:bidi="ar"/>
        </w:rPr>
        <w:t>以下，相对湿度低于</w:t>
      </w:r>
      <w:r>
        <w:rPr>
          <w:rFonts w:hint="eastAsia"/>
          <w:kern w:val="0"/>
          <w:lang w:bidi="ar"/>
        </w:rPr>
        <w:t>65%</w:t>
      </w:r>
      <w:r>
        <w:rPr>
          <w:rFonts w:hint="eastAsia"/>
          <w:kern w:val="0"/>
          <w:lang w:bidi="ar"/>
        </w:rPr>
        <w:t>。不得与有毒、有害、有腐蚀性和易挥发、有异味的物质同库储藏。</w:t>
      </w:r>
    </w:p>
    <w:p w:rsidR="00B51C1F" w:rsidRDefault="00CE7E9F" w:rsidP="000E0B3F">
      <w:pPr>
        <w:pStyle w:val="1"/>
      </w:pPr>
      <w:r>
        <w:rPr>
          <w:rFonts w:hint="eastAsia"/>
        </w:rPr>
        <w:t>9</w:t>
      </w:r>
      <w:r w:rsidR="0085793B">
        <w:t xml:space="preserve"> </w:t>
      </w:r>
      <w:r>
        <w:rPr>
          <w:rFonts w:hint="eastAsia"/>
        </w:rPr>
        <w:t>生产废弃物处理</w:t>
      </w:r>
    </w:p>
    <w:p w:rsidR="00B51C1F" w:rsidRDefault="00CE7E9F" w:rsidP="000E0B3F">
      <w:pPr>
        <w:ind w:firstLine="420"/>
        <w:rPr>
          <w:lang w:bidi="ar"/>
        </w:rPr>
      </w:pPr>
      <w:r>
        <w:rPr>
          <w:rFonts w:hint="eastAsia"/>
          <w:lang w:bidi="ar"/>
        </w:rPr>
        <w:t>在加工环节产生的废弃物，应及时清理、分类收集、及时转运，并做好处理记录。</w:t>
      </w:r>
    </w:p>
    <w:p w:rsidR="00B51C1F" w:rsidRDefault="00CE7E9F" w:rsidP="000E0B3F">
      <w:pPr>
        <w:pStyle w:val="1"/>
      </w:pPr>
      <w:r>
        <w:rPr>
          <w:rFonts w:hint="eastAsia"/>
        </w:rPr>
        <w:t>10</w:t>
      </w:r>
      <w:r w:rsidR="0085793B">
        <w:t xml:space="preserve"> </w:t>
      </w:r>
      <w:r>
        <w:rPr>
          <w:rFonts w:hint="eastAsia"/>
        </w:rPr>
        <w:t>生产档案管理</w:t>
      </w:r>
    </w:p>
    <w:p w:rsidR="00B51C1F" w:rsidRDefault="00CE7E9F" w:rsidP="000E0B3F">
      <w:pPr>
        <w:pStyle w:val="2"/>
        <w:rPr>
          <w:rFonts w:hint="default"/>
        </w:rPr>
      </w:pPr>
      <w:r>
        <w:t>10.1</w:t>
      </w:r>
      <w:r w:rsidR="0085793B">
        <w:rPr>
          <w:rFonts w:hint="default"/>
        </w:rPr>
        <w:t xml:space="preserve"> </w:t>
      </w:r>
      <w:r>
        <w:t>加工档案</w:t>
      </w:r>
    </w:p>
    <w:p w:rsidR="00B51C1F" w:rsidRDefault="00CE7E9F" w:rsidP="000E0B3F">
      <w:pPr>
        <w:ind w:firstLine="420"/>
        <w:rPr>
          <w:lang w:bidi="ar"/>
        </w:rPr>
      </w:pPr>
      <w:r>
        <w:rPr>
          <w:rFonts w:hint="eastAsia"/>
          <w:lang w:bidi="ar"/>
        </w:rPr>
        <w:t>包括质量管理体系文件、生产加工计划、产地合同、生产加工数量、生产过程控制、产品检测报告、人员健康体检报告与应急情况处理等控制文件。</w:t>
      </w:r>
    </w:p>
    <w:p w:rsidR="00B51C1F" w:rsidRDefault="00CE7E9F" w:rsidP="000E0B3F">
      <w:pPr>
        <w:pStyle w:val="2"/>
        <w:rPr>
          <w:rFonts w:hint="default"/>
        </w:rPr>
      </w:pPr>
      <w:r>
        <w:t>10.2</w:t>
      </w:r>
      <w:r w:rsidR="0085793B">
        <w:rPr>
          <w:rFonts w:hint="default"/>
        </w:rPr>
        <w:t xml:space="preserve"> </w:t>
      </w:r>
      <w:r>
        <w:t>可追溯体系</w:t>
      </w:r>
    </w:p>
    <w:p w:rsidR="00B51C1F" w:rsidRDefault="00CE7E9F" w:rsidP="000E0B3F">
      <w:pPr>
        <w:ind w:firstLine="420"/>
        <w:rPr>
          <w:lang w:bidi="ar"/>
        </w:rPr>
      </w:pPr>
      <w:r>
        <w:rPr>
          <w:rFonts w:hint="eastAsia"/>
          <w:lang w:bidi="ar"/>
        </w:rPr>
        <w:t>采购、加工、储藏、检验、销售等环节，有完整的、真实的、连续的、可追踪的生产批号系统，根据批号系统能查询到完整的档案记录。</w:t>
      </w:r>
    </w:p>
    <w:p w:rsidR="00B51C1F" w:rsidRDefault="00CE7E9F" w:rsidP="000E0B3F">
      <w:pPr>
        <w:pStyle w:val="2"/>
        <w:rPr>
          <w:rFonts w:hint="default"/>
        </w:rPr>
      </w:pPr>
      <w:r>
        <w:t>10.3</w:t>
      </w:r>
      <w:r w:rsidR="0085793B">
        <w:rPr>
          <w:rFonts w:hint="default"/>
        </w:rPr>
        <w:t xml:space="preserve"> </w:t>
      </w:r>
      <w:r>
        <w:t>档案保管</w:t>
      </w:r>
    </w:p>
    <w:p w:rsidR="00B51C1F" w:rsidRDefault="000E0B3F" w:rsidP="000E0B3F">
      <w:pPr>
        <w:ind w:firstLine="420"/>
        <w:rPr>
          <w:rFonts w:ascii="黑体" w:eastAsia="黑体" w:hAnsi="黑体" w:cs="黑体"/>
        </w:rPr>
      </w:pPr>
      <w:r>
        <w:rPr>
          <w:rFonts w:ascii="黑体" w:eastAsia="黑体" w:hAnsi="黑体" w:cs="黑体"/>
          <w:noProof/>
        </w:rPr>
        <mc:AlternateContent>
          <mc:Choice Requires="wps">
            <w:drawing>
              <wp:anchor distT="0" distB="0" distL="114300" distR="114300" simplePos="0" relativeHeight="251659264" behindDoc="0" locked="0" layoutInCell="1" allowOverlap="1" wp14:anchorId="6F1D3B50" wp14:editId="4F794DEB">
                <wp:simplePos x="0" y="0"/>
                <wp:positionH relativeFrom="column">
                  <wp:posOffset>1723390</wp:posOffset>
                </wp:positionH>
                <wp:positionV relativeFrom="paragraph">
                  <wp:posOffset>709074</wp:posOffset>
                </wp:positionV>
                <wp:extent cx="1800000" cy="8890"/>
                <wp:effectExtent l="0" t="0" r="29210" b="29210"/>
                <wp:wrapNone/>
                <wp:docPr id="4" name="直接箭头连接符 4"/>
                <wp:cNvGraphicFramePr/>
                <a:graphic xmlns:a="http://schemas.openxmlformats.org/drawingml/2006/main">
                  <a:graphicData uri="http://schemas.microsoft.com/office/word/2010/wordprocessingShape">
                    <wps:wsp>
                      <wps:cNvCnPr/>
                      <wps:spPr>
                        <a:xfrm>
                          <a:off x="0" y="0"/>
                          <a:ext cx="1800000" cy="8890"/>
                        </a:xfrm>
                        <a:prstGeom prst="straightConnector1">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w:pict>
              <v:shape w14:anchorId="7694DD82" id="直接箭头连接符 4" o:spid="_x0000_s1026" type="#_x0000_t32" style="position:absolute;left:0;text-align:left;margin-left:135.7pt;margin-top:55.85pt;width:141.75pt;height:.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"/>
            </w:pict>
          </mc:Fallback>
        </mc:AlternateContent>
      </w:r>
      <w:r w:rsidR="00CE7E9F">
        <w:rPr>
          <w:rFonts w:hint="eastAsia"/>
          <w:lang w:bidi="ar"/>
        </w:rPr>
        <w:t>所有记录应完整、真实、规范、字迹清楚，档案记录应保存</w:t>
      </w:r>
      <w:r w:rsidR="00CE7E9F">
        <w:rPr>
          <w:rFonts w:hint="eastAsia"/>
          <w:lang w:bidi="ar"/>
        </w:rPr>
        <w:t>3</w:t>
      </w:r>
      <w:r w:rsidR="00CE7E9F">
        <w:rPr>
          <w:rFonts w:hint="eastAsia"/>
          <w:lang w:bidi="ar"/>
        </w:rPr>
        <w:t>年以上，档案资料由专人保管。</w:t>
      </w:r>
    </w:p>
    <w:sectPr w:rsidR="00B51C1F" w:rsidSect="000C34AE">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3F8" w:rsidRDefault="004923F8">
      <w:pPr>
        <w:ind w:firstLine="420"/>
      </w:pPr>
      <w:r>
        <w:separator/>
      </w:r>
    </w:p>
  </w:endnote>
  <w:endnote w:type="continuationSeparator" w:id="0">
    <w:p w:rsidR="004923F8" w:rsidRDefault="004923F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B3F" w:rsidRDefault="000E0B3F">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B3F" w:rsidRDefault="000E0B3F">
    <w:pPr>
      <w:pStyle w:val="a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B3F" w:rsidRDefault="000E0B3F">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
    </w:sdtPr>
    <w:sdtEndPr>
      <w:rPr>
        <w:rFonts w:asciiTheme="minorEastAsia" w:hAnsiTheme="minorEastAsia"/>
        <w:sz w:val="21"/>
        <w:szCs w:val="28"/>
      </w:rPr>
    </w:sdtEndPr>
    <w:sdtContent>
      <w:p w:rsidR="00B51C1F" w:rsidRDefault="00CE7E9F" w:rsidP="000C34AE">
        <w:pPr>
          <w:pStyle w:val="a9"/>
          <w:ind w:firstLineChars="0" w:firstLine="0"/>
          <w:rPr>
            <w:rFonts w:asciiTheme="minorEastAsia" w:hAnsiTheme="minorEastAsia"/>
            <w:sz w:val="21"/>
            <w:szCs w:val="28"/>
          </w:rPr>
        </w:pPr>
        <w:r>
          <w:rPr>
            <w:rFonts w:asciiTheme="minorEastAsia" w:hAnsiTheme="minorEastAsia"/>
            <w:sz w:val="21"/>
            <w:szCs w:val="28"/>
          </w:rPr>
          <w:fldChar w:fldCharType="begin"/>
        </w:r>
        <w:r>
          <w:rPr>
            <w:rFonts w:asciiTheme="minorEastAsia" w:hAnsiTheme="minorEastAsia"/>
            <w:sz w:val="21"/>
            <w:szCs w:val="28"/>
          </w:rPr>
          <w:instrText>PAGE   \* MERGEFORMAT</w:instrText>
        </w:r>
        <w:r>
          <w:rPr>
            <w:rFonts w:asciiTheme="minorEastAsia" w:hAnsiTheme="minorEastAsia"/>
            <w:sz w:val="21"/>
            <w:szCs w:val="28"/>
          </w:rPr>
          <w:fldChar w:fldCharType="separate"/>
        </w:r>
        <w:r w:rsidR="00AD7D81" w:rsidRPr="00AD7D81">
          <w:rPr>
            <w:rFonts w:asciiTheme="minorEastAsia" w:hAnsiTheme="minorEastAsia"/>
            <w:noProof/>
            <w:sz w:val="21"/>
            <w:szCs w:val="28"/>
            <w:lang w:val="zh-CN"/>
          </w:rPr>
          <w:t>2</w:t>
        </w:r>
        <w:r>
          <w:rPr>
            <w:rFonts w:asciiTheme="minorEastAsia" w:hAnsiTheme="minorEastAsia"/>
            <w:sz w:val="21"/>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402767"/>
    </w:sdtPr>
    <w:sdtEndPr>
      <w:rPr>
        <w:rFonts w:asciiTheme="minorEastAsia" w:hAnsiTheme="minorEastAsia"/>
        <w:sz w:val="21"/>
        <w:szCs w:val="28"/>
      </w:rPr>
    </w:sdtEndPr>
    <w:sdtContent>
      <w:p w:rsidR="00B51C1F" w:rsidRDefault="00CE7E9F">
        <w:pPr>
          <w:pStyle w:val="a9"/>
          <w:ind w:firstLine="360"/>
          <w:jc w:val="right"/>
          <w:rPr>
            <w:rFonts w:asciiTheme="minorEastAsia" w:hAnsiTheme="minorEastAsia"/>
            <w:sz w:val="21"/>
            <w:szCs w:val="28"/>
          </w:rPr>
        </w:pPr>
        <w:r>
          <w:rPr>
            <w:rFonts w:asciiTheme="minorEastAsia" w:hAnsiTheme="minorEastAsia"/>
            <w:sz w:val="21"/>
            <w:szCs w:val="28"/>
          </w:rPr>
          <w:fldChar w:fldCharType="begin"/>
        </w:r>
        <w:r>
          <w:rPr>
            <w:rFonts w:asciiTheme="minorEastAsia" w:hAnsiTheme="minorEastAsia"/>
            <w:sz w:val="21"/>
            <w:szCs w:val="28"/>
          </w:rPr>
          <w:instrText>PAGE   \* MERGEFORMAT</w:instrText>
        </w:r>
        <w:r>
          <w:rPr>
            <w:rFonts w:asciiTheme="minorEastAsia" w:hAnsiTheme="minorEastAsia"/>
            <w:sz w:val="21"/>
            <w:szCs w:val="28"/>
          </w:rPr>
          <w:fldChar w:fldCharType="separate"/>
        </w:r>
        <w:r w:rsidR="00AD7D81" w:rsidRPr="00AD7D81">
          <w:rPr>
            <w:rFonts w:asciiTheme="minorEastAsia" w:hAnsiTheme="minorEastAsia"/>
            <w:noProof/>
            <w:sz w:val="21"/>
            <w:szCs w:val="28"/>
            <w:lang w:val="zh-CN"/>
          </w:rPr>
          <w:t>I</w:t>
        </w:r>
        <w:r>
          <w:rPr>
            <w:rFonts w:asciiTheme="minorEastAsia" w:hAnsiTheme="minorEastAsia"/>
            <w:sz w:val="21"/>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3F8" w:rsidRDefault="004923F8">
      <w:pPr>
        <w:ind w:firstLine="420"/>
      </w:pPr>
      <w:r>
        <w:separator/>
      </w:r>
    </w:p>
  </w:footnote>
  <w:footnote w:type="continuationSeparator" w:id="0">
    <w:p w:rsidR="004923F8" w:rsidRDefault="004923F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B3F" w:rsidRDefault="004923F8">
    <w:pPr>
      <w:pStyle w:val="aa"/>
      <w:ind w:firstLine="3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209" o:spid="_x0000_s2050" type="#_x0000_t75" style="position:absolute;left:0;text-align:left;margin-left:0;margin-top:0;width:415.25pt;height:387pt;z-index:-251657216;mso-position-horizontal:center;mso-position-horizontal-relative:margin;mso-position-vertical:center;mso-position-vertical-relative:margin"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B3F" w:rsidRDefault="004923F8" w:rsidP="000E0B3F">
    <w:pPr>
      <w:pStyle w:val="aa"/>
      <w:pBdr>
        <w:bottom w:val="none" w:sz="0" w:space="0" w:color="auto"/>
      </w:pBdr>
      <w:ind w:firstLine="3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210" o:spid="_x0000_s2051" type="#_x0000_t75" style="position:absolute;left:0;text-align:left;margin-left:0;margin-top:0;width:415.25pt;height:387pt;z-index:-251656192;mso-position-horizontal:center;mso-position-horizontal-relative:margin;mso-position-vertical:center;mso-position-vertical-relative:margin"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B3F" w:rsidRDefault="004923F8" w:rsidP="000E0B3F">
    <w:pPr>
      <w:pStyle w:val="aa"/>
      <w:pBdr>
        <w:bottom w:val="none" w:sz="0" w:space="0" w:color="auto"/>
      </w:pBdr>
      <w:ind w:firstLine="3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208" o:spid="_x0000_s2049" type="#_x0000_t75" style="position:absolute;left:0;text-align:left;margin-left:0;margin-top:0;width:415.25pt;height:387pt;z-index:-251658240;mso-position-horizontal:center;mso-position-horizontal-relative:margin;mso-position-vertical:center;mso-position-vertical-relative:margin"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007" w:rsidRDefault="004923F8" w:rsidP="000C34AE">
    <w:pPr>
      <w:pStyle w:val="aa"/>
      <w:pBdr>
        <w:bottom w:val="none" w:sz="0" w:space="0" w:color="auto"/>
      </w:pBdr>
      <w:ind w:firstLine="3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212" o:spid="_x0000_s2053" type="#_x0000_t75" style="position:absolute;left:0;text-align:left;margin-left:0;margin-top:0;width:415.25pt;height:387pt;z-index:-251654144;mso-position-horizontal:center;mso-position-horizontal-relative:margin;mso-position-vertical:center;mso-position-vertical-relative:margin"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007" w:rsidRDefault="004923F8" w:rsidP="006E7007">
    <w:pPr>
      <w:pStyle w:val="aa"/>
      <w:pBdr>
        <w:bottom w:val="none" w:sz="0" w:space="0" w:color="auto"/>
      </w:pBdr>
      <w:ind w:firstLine="3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213" o:spid="_x0000_s2054" type="#_x0000_t75" style="position:absolute;left:0;text-align:left;margin-left:0;margin-top:0;width:415.25pt;height:387pt;z-index:-251653120;mso-position-horizontal:center;mso-position-horizontal-relative:margin;mso-position-vertical:center;mso-position-vertical-relative:margin"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007" w:rsidRDefault="004923F8">
    <w:pPr>
      <w:pStyle w:val="aa"/>
      <w:ind w:firstLine="3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211" o:spid="_x0000_s2052" type="#_x0000_t75" style="position:absolute;left:0;text-align:left;margin-left:0;margin-top:0;width:415.25pt;height:387pt;z-index:-251655168;mso-position-horizontal:center;mso-position-horizontal-relative:margin;mso-position-vertical:center;mso-position-vertical-relative:margin" o:allowincell="f">
          <v:imagedata r:id="rId1" o:title="绿标png"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1"/>
      <w:suff w:val="nothing"/>
      <w:lvlText w:val="%1%2.%3.%4　"/>
      <w:lvlJc w:val="left"/>
      <w:pPr>
        <w:ind w:left="709" w:firstLine="0"/>
      </w:pPr>
      <w:rPr>
        <w:rFonts w:ascii="黑体" w:eastAsia="黑体" w:hint="eastAsia"/>
        <w:b w:val="0"/>
        <w:i w:val="0"/>
        <w:sz w:val="21"/>
      </w:rPr>
    </w:lvl>
    <w:lvl w:ilvl="4">
      <w:start w:val="1"/>
      <w:numFmt w:val="decimal"/>
      <w:pStyle w:val="a2"/>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5"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714265"/>
    <w:rsid w:val="77714265"/>
    <w:rsid w:val="BB4F4BA1"/>
    <w:rsid w:val="BB566345"/>
    <w:rsid w:val="CFF7E700"/>
    <w:rsid w:val="D99FE02F"/>
    <w:rsid w:val="DF57B9E2"/>
    <w:rsid w:val="EBD50A49"/>
    <w:rsid w:val="ED38DAD9"/>
    <w:rsid w:val="EDF764D6"/>
    <w:rsid w:val="F87FD928"/>
    <w:rsid w:val="FBFF2298"/>
    <w:rsid w:val="FEFF15F1"/>
    <w:rsid w:val="FFB5B655"/>
    <w:rsid w:val="FFE99671"/>
    <w:rsid w:val="FFEB0ED4"/>
    <w:rsid w:val="FFF74953"/>
    <w:rsid w:val="FFFD01E6"/>
    <w:rsid w:val="000315C0"/>
    <w:rsid w:val="000C34AE"/>
    <w:rsid w:val="000E0B3F"/>
    <w:rsid w:val="00171B86"/>
    <w:rsid w:val="003F1F46"/>
    <w:rsid w:val="004923F8"/>
    <w:rsid w:val="005208F5"/>
    <w:rsid w:val="00671CC4"/>
    <w:rsid w:val="006E7007"/>
    <w:rsid w:val="0071132B"/>
    <w:rsid w:val="007C508E"/>
    <w:rsid w:val="0085793B"/>
    <w:rsid w:val="00885F46"/>
    <w:rsid w:val="00985CC8"/>
    <w:rsid w:val="00A8308A"/>
    <w:rsid w:val="00AD7D81"/>
    <w:rsid w:val="00AF4245"/>
    <w:rsid w:val="00B21187"/>
    <w:rsid w:val="00B51C1F"/>
    <w:rsid w:val="00B5632A"/>
    <w:rsid w:val="00C57893"/>
    <w:rsid w:val="00CE7E9F"/>
    <w:rsid w:val="00D46B1C"/>
    <w:rsid w:val="00E203F6"/>
    <w:rsid w:val="01614DF5"/>
    <w:rsid w:val="01EC3E90"/>
    <w:rsid w:val="02057046"/>
    <w:rsid w:val="02257D40"/>
    <w:rsid w:val="02E62FD5"/>
    <w:rsid w:val="02EC685C"/>
    <w:rsid w:val="0348159A"/>
    <w:rsid w:val="03F1066D"/>
    <w:rsid w:val="040C25C7"/>
    <w:rsid w:val="04806B11"/>
    <w:rsid w:val="051E25B2"/>
    <w:rsid w:val="051F68E6"/>
    <w:rsid w:val="059E1945"/>
    <w:rsid w:val="07B62F76"/>
    <w:rsid w:val="09576BD2"/>
    <w:rsid w:val="09701D91"/>
    <w:rsid w:val="09D73678"/>
    <w:rsid w:val="0A402FCB"/>
    <w:rsid w:val="0AB413AA"/>
    <w:rsid w:val="0ACA0AE6"/>
    <w:rsid w:val="0B7A6F51"/>
    <w:rsid w:val="0CED50BF"/>
    <w:rsid w:val="0CF54541"/>
    <w:rsid w:val="0D6B490C"/>
    <w:rsid w:val="0D861E22"/>
    <w:rsid w:val="0D8A5C59"/>
    <w:rsid w:val="0DC87629"/>
    <w:rsid w:val="0F39167F"/>
    <w:rsid w:val="0F9D0EBF"/>
    <w:rsid w:val="11205904"/>
    <w:rsid w:val="12C76834"/>
    <w:rsid w:val="136441CE"/>
    <w:rsid w:val="13AE369B"/>
    <w:rsid w:val="13CE7899"/>
    <w:rsid w:val="13EB21F9"/>
    <w:rsid w:val="1436127B"/>
    <w:rsid w:val="14C24256"/>
    <w:rsid w:val="156629CC"/>
    <w:rsid w:val="156F6E5A"/>
    <w:rsid w:val="1582093B"/>
    <w:rsid w:val="15A85EC8"/>
    <w:rsid w:val="15EF5C86"/>
    <w:rsid w:val="16117F11"/>
    <w:rsid w:val="16BE59A3"/>
    <w:rsid w:val="17894D64"/>
    <w:rsid w:val="178C5CE6"/>
    <w:rsid w:val="179FD701"/>
    <w:rsid w:val="17BB1EE3"/>
    <w:rsid w:val="18887671"/>
    <w:rsid w:val="19173690"/>
    <w:rsid w:val="19306D0B"/>
    <w:rsid w:val="19486E8E"/>
    <w:rsid w:val="194A64FD"/>
    <w:rsid w:val="194D31D1"/>
    <w:rsid w:val="195B37A8"/>
    <w:rsid w:val="19636CD6"/>
    <w:rsid w:val="1B003FFA"/>
    <w:rsid w:val="1B0167A6"/>
    <w:rsid w:val="1B0659E2"/>
    <w:rsid w:val="1B0A781D"/>
    <w:rsid w:val="1B207EA5"/>
    <w:rsid w:val="1B883B3E"/>
    <w:rsid w:val="1CCE20FE"/>
    <w:rsid w:val="1D3D339A"/>
    <w:rsid w:val="1DAA0909"/>
    <w:rsid w:val="1DDF2D98"/>
    <w:rsid w:val="1FDB8E82"/>
    <w:rsid w:val="1FF95C9E"/>
    <w:rsid w:val="1FF97A4C"/>
    <w:rsid w:val="206D21E8"/>
    <w:rsid w:val="20992FDD"/>
    <w:rsid w:val="22A42230"/>
    <w:rsid w:val="22F32D6B"/>
    <w:rsid w:val="231150AD"/>
    <w:rsid w:val="23210D21"/>
    <w:rsid w:val="23272153"/>
    <w:rsid w:val="236D2C2B"/>
    <w:rsid w:val="2392443F"/>
    <w:rsid w:val="23C73C11"/>
    <w:rsid w:val="240F4078"/>
    <w:rsid w:val="24612064"/>
    <w:rsid w:val="24A1474E"/>
    <w:rsid w:val="24E83CB4"/>
    <w:rsid w:val="25070899"/>
    <w:rsid w:val="25170628"/>
    <w:rsid w:val="25776824"/>
    <w:rsid w:val="257B4D16"/>
    <w:rsid w:val="25C428AA"/>
    <w:rsid w:val="25FB70C1"/>
    <w:rsid w:val="26362B82"/>
    <w:rsid w:val="26647BE9"/>
    <w:rsid w:val="26C2328E"/>
    <w:rsid w:val="276D5F8E"/>
    <w:rsid w:val="27816AAD"/>
    <w:rsid w:val="278CC7F2"/>
    <w:rsid w:val="28991DCC"/>
    <w:rsid w:val="28A730BD"/>
    <w:rsid w:val="28AD1D1C"/>
    <w:rsid w:val="2A6854F5"/>
    <w:rsid w:val="2A7E3970"/>
    <w:rsid w:val="2AC82E3D"/>
    <w:rsid w:val="2B110340"/>
    <w:rsid w:val="2B4F707F"/>
    <w:rsid w:val="2B7B1BE5"/>
    <w:rsid w:val="2B932E22"/>
    <w:rsid w:val="2BF95F5D"/>
    <w:rsid w:val="2E585462"/>
    <w:rsid w:val="2E6A75E3"/>
    <w:rsid w:val="2ECC434D"/>
    <w:rsid w:val="2ECE6548"/>
    <w:rsid w:val="2EED10C4"/>
    <w:rsid w:val="2F9E2706"/>
    <w:rsid w:val="30953346"/>
    <w:rsid w:val="30A15C04"/>
    <w:rsid w:val="30EF4623"/>
    <w:rsid w:val="311A5A74"/>
    <w:rsid w:val="31723B02"/>
    <w:rsid w:val="31D11C6E"/>
    <w:rsid w:val="32566F80"/>
    <w:rsid w:val="32FDB19B"/>
    <w:rsid w:val="33547B5C"/>
    <w:rsid w:val="33694A91"/>
    <w:rsid w:val="340C3D9A"/>
    <w:rsid w:val="34A31774"/>
    <w:rsid w:val="34CF7CD1"/>
    <w:rsid w:val="34E67166"/>
    <w:rsid w:val="34FD4F11"/>
    <w:rsid w:val="35297B62"/>
    <w:rsid w:val="357F234A"/>
    <w:rsid w:val="35A65B28"/>
    <w:rsid w:val="36007E9D"/>
    <w:rsid w:val="385E093C"/>
    <w:rsid w:val="38C2275D"/>
    <w:rsid w:val="39143EA1"/>
    <w:rsid w:val="39251FC6"/>
    <w:rsid w:val="39C72511"/>
    <w:rsid w:val="3A013C75"/>
    <w:rsid w:val="3A973E7C"/>
    <w:rsid w:val="3B8E0546"/>
    <w:rsid w:val="3BB40CAE"/>
    <w:rsid w:val="3C264FA8"/>
    <w:rsid w:val="3C5462DE"/>
    <w:rsid w:val="3C805325"/>
    <w:rsid w:val="3D9318C7"/>
    <w:rsid w:val="3DB21B21"/>
    <w:rsid w:val="3E4E021B"/>
    <w:rsid w:val="3FD7F140"/>
    <w:rsid w:val="3FE36DE2"/>
    <w:rsid w:val="410D1152"/>
    <w:rsid w:val="41DE28A1"/>
    <w:rsid w:val="41E4378F"/>
    <w:rsid w:val="41F26A85"/>
    <w:rsid w:val="423B584A"/>
    <w:rsid w:val="42815953"/>
    <w:rsid w:val="432E28CE"/>
    <w:rsid w:val="43AA712C"/>
    <w:rsid w:val="44485EEE"/>
    <w:rsid w:val="447B1636"/>
    <w:rsid w:val="44C42913"/>
    <w:rsid w:val="46B6272A"/>
    <w:rsid w:val="46C44060"/>
    <w:rsid w:val="471A45C8"/>
    <w:rsid w:val="481E6F0F"/>
    <w:rsid w:val="48517B76"/>
    <w:rsid w:val="48A929B1"/>
    <w:rsid w:val="49387764"/>
    <w:rsid w:val="49E317C5"/>
    <w:rsid w:val="4A3C0668"/>
    <w:rsid w:val="4AA448D5"/>
    <w:rsid w:val="4AE94027"/>
    <w:rsid w:val="4AFB5019"/>
    <w:rsid w:val="4B700C5B"/>
    <w:rsid w:val="4B7F16FC"/>
    <w:rsid w:val="4BCDB5D2"/>
    <w:rsid w:val="4BF929FE"/>
    <w:rsid w:val="4C790E08"/>
    <w:rsid w:val="4CB84667"/>
    <w:rsid w:val="4E5B49B4"/>
    <w:rsid w:val="4F2068BD"/>
    <w:rsid w:val="4F4D778C"/>
    <w:rsid w:val="511F427C"/>
    <w:rsid w:val="531719E3"/>
    <w:rsid w:val="533B38FC"/>
    <w:rsid w:val="544E765F"/>
    <w:rsid w:val="55AC0AE1"/>
    <w:rsid w:val="55CC4CE0"/>
    <w:rsid w:val="5785783C"/>
    <w:rsid w:val="57C93BCD"/>
    <w:rsid w:val="59012EF2"/>
    <w:rsid w:val="59554FEC"/>
    <w:rsid w:val="59734C3C"/>
    <w:rsid w:val="5A167865"/>
    <w:rsid w:val="5AF7A72E"/>
    <w:rsid w:val="5B6339F0"/>
    <w:rsid w:val="5BB26726"/>
    <w:rsid w:val="5C16767D"/>
    <w:rsid w:val="5D35760E"/>
    <w:rsid w:val="5D4322BF"/>
    <w:rsid w:val="5DC56BE4"/>
    <w:rsid w:val="5DF10564"/>
    <w:rsid w:val="5E0F2178"/>
    <w:rsid w:val="5E132EBB"/>
    <w:rsid w:val="5F3213FA"/>
    <w:rsid w:val="5FA934CF"/>
    <w:rsid w:val="5FC609F2"/>
    <w:rsid w:val="5FFEE390"/>
    <w:rsid w:val="62805491"/>
    <w:rsid w:val="62A0377C"/>
    <w:rsid w:val="642301C1"/>
    <w:rsid w:val="647E189B"/>
    <w:rsid w:val="649B218A"/>
    <w:rsid w:val="664F1741"/>
    <w:rsid w:val="66E165CE"/>
    <w:rsid w:val="67327814"/>
    <w:rsid w:val="67987117"/>
    <w:rsid w:val="67E81E4D"/>
    <w:rsid w:val="67FEDD3C"/>
    <w:rsid w:val="68D81CAE"/>
    <w:rsid w:val="69FF0324"/>
    <w:rsid w:val="6B0D3978"/>
    <w:rsid w:val="6B792DBC"/>
    <w:rsid w:val="6B8A4FC9"/>
    <w:rsid w:val="6BF774FB"/>
    <w:rsid w:val="6C111D11"/>
    <w:rsid w:val="6C3007D4"/>
    <w:rsid w:val="6C3867D3"/>
    <w:rsid w:val="6C580C23"/>
    <w:rsid w:val="6C6B5D7B"/>
    <w:rsid w:val="6CB06CB1"/>
    <w:rsid w:val="6CB620AE"/>
    <w:rsid w:val="6D333ECA"/>
    <w:rsid w:val="6D661726"/>
    <w:rsid w:val="6D6D6950"/>
    <w:rsid w:val="6E1C306D"/>
    <w:rsid w:val="6E66587A"/>
    <w:rsid w:val="6EF2535F"/>
    <w:rsid w:val="6F2705CB"/>
    <w:rsid w:val="6F3D46B1"/>
    <w:rsid w:val="6F495631"/>
    <w:rsid w:val="6F572B75"/>
    <w:rsid w:val="6FF60E7F"/>
    <w:rsid w:val="728E35F1"/>
    <w:rsid w:val="72E92296"/>
    <w:rsid w:val="72E94CCB"/>
    <w:rsid w:val="73270E80"/>
    <w:rsid w:val="732A283B"/>
    <w:rsid w:val="73AF1A71"/>
    <w:rsid w:val="73FB2F08"/>
    <w:rsid w:val="74962C31"/>
    <w:rsid w:val="75375CE4"/>
    <w:rsid w:val="76A35191"/>
    <w:rsid w:val="773F394C"/>
    <w:rsid w:val="775D5004"/>
    <w:rsid w:val="7762504C"/>
    <w:rsid w:val="77714265"/>
    <w:rsid w:val="778E6BFD"/>
    <w:rsid w:val="77F221E2"/>
    <w:rsid w:val="77FE7D8A"/>
    <w:rsid w:val="78476BB8"/>
    <w:rsid w:val="785A48F6"/>
    <w:rsid w:val="7A0B49B5"/>
    <w:rsid w:val="7A7B6B83"/>
    <w:rsid w:val="7B792AD1"/>
    <w:rsid w:val="7CC1676E"/>
    <w:rsid w:val="7CCD2F68"/>
    <w:rsid w:val="7CD14A28"/>
    <w:rsid w:val="7D6F1A83"/>
    <w:rsid w:val="7E153868"/>
    <w:rsid w:val="7EF9635D"/>
    <w:rsid w:val="7F3F5B96"/>
    <w:rsid w:val="7F7F0E63"/>
    <w:rsid w:val="7F9D30EA"/>
    <w:rsid w:val="7FB56955"/>
    <w:rsid w:val="7FD5A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1"/>
    </o:shapelayout>
  </w:shapeDefaults>
  <w:decimalSymbol w:val="."/>
  <w:listSeparator w:val=","/>
  <w15:docId w15:val="{C4EEC871-E5DE-4306-9697-A1F12D822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E0B3F"/>
    <w:pPr>
      <w:widowControl w:val="0"/>
      <w:adjustRightInd w:val="0"/>
      <w:snapToGrid w:val="0"/>
      <w:spacing w:line="360" w:lineRule="auto"/>
      <w:ind w:firstLineChars="200" w:firstLine="200"/>
      <w:jc w:val="both"/>
    </w:pPr>
    <w:rPr>
      <w:rFonts w:eastAsiaTheme="minorEastAsia" w:cstheme="minorBidi"/>
      <w:kern w:val="2"/>
      <w:sz w:val="21"/>
      <w:szCs w:val="22"/>
    </w:rPr>
  </w:style>
  <w:style w:type="paragraph" w:styleId="1">
    <w:name w:val="heading 1"/>
    <w:basedOn w:val="a3"/>
    <w:next w:val="a3"/>
    <w:qFormat/>
    <w:rsid w:val="000E0B3F"/>
    <w:pPr>
      <w:keepNext/>
      <w:keepLines/>
      <w:ind w:firstLineChars="0" w:firstLine="0"/>
      <w:outlineLvl w:val="0"/>
    </w:pPr>
    <w:rPr>
      <w:rFonts w:ascii="黑体" w:eastAsia="黑体" w:hAnsi="黑体" w:cs="黑体"/>
      <w:kern w:val="44"/>
      <w:szCs w:val="21"/>
    </w:rPr>
  </w:style>
  <w:style w:type="paragraph" w:styleId="2">
    <w:name w:val="heading 2"/>
    <w:basedOn w:val="a3"/>
    <w:next w:val="a3"/>
    <w:unhideWhenUsed/>
    <w:qFormat/>
    <w:rsid w:val="000E0B3F"/>
    <w:pPr>
      <w:ind w:firstLineChars="0" w:firstLine="0"/>
      <w:jc w:val="left"/>
      <w:outlineLvl w:val="1"/>
    </w:pPr>
    <w:rPr>
      <w:rFonts w:ascii="黑体" w:eastAsia="黑体" w:hAnsi="黑体" w:cs="Times New Roman" w:hint="eastAsia"/>
      <w:kern w:val="0"/>
      <w:szCs w:val="36"/>
    </w:rPr>
  </w:style>
  <w:style w:type="paragraph" w:styleId="3">
    <w:name w:val="heading 3"/>
    <w:basedOn w:val="a3"/>
    <w:next w:val="a3"/>
    <w:link w:val="3Char"/>
    <w:unhideWhenUsed/>
    <w:qFormat/>
    <w:rsid w:val="000E0B3F"/>
    <w:pPr>
      <w:keepNext/>
      <w:keepLines/>
      <w:ind w:firstLineChars="0" w:firstLine="0"/>
      <w:outlineLvl w:val="2"/>
    </w:pPr>
    <w:rPr>
      <w:rFonts w:ascii="黑体" w:eastAsia="黑体" w:hAnsi="黑体"/>
      <w:bCs/>
      <w:szCs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basedOn w:val="a3"/>
    <w:qFormat/>
    <w:pPr>
      <w:jc w:val="left"/>
    </w:pPr>
  </w:style>
  <w:style w:type="paragraph" w:styleId="a8">
    <w:name w:val="Body Text"/>
    <w:basedOn w:val="a3"/>
    <w:uiPriority w:val="1"/>
    <w:qFormat/>
    <w:rPr>
      <w:rFonts w:eastAsia="宋体" w:cs="宋体"/>
      <w:szCs w:val="21"/>
      <w:lang w:val="hu-HU" w:eastAsia="hu-HU" w:bidi="hu-HU"/>
    </w:rPr>
  </w:style>
  <w:style w:type="paragraph" w:styleId="a9">
    <w:name w:val="footer"/>
    <w:basedOn w:val="a3"/>
    <w:uiPriority w:val="99"/>
    <w:unhideWhenUsed/>
    <w:qFormat/>
    <w:pPr>
      <w:tabs>
        <w:tab w:val="center" w:pos="4153"/>
        <w:tab w:val="right" w:pos="8306"/>
      </w:tabs>
      <w:jc w:val="left"/>
    </w:pPr>
    <w:rPr>
      <w:sz w:val="18"/>
      <w:szCs w:val="18"/>
    </w:rPr>
  </w:style>
  <w:style w:type="paragraph" w:styleId="aa">
    <w:name w:val="header"/>
    <w:basedOn w:val="a3"/>
    <w:uiPriority w:val="99"/>
    <w:unhideWhenUsed/>
    <w:qFormat/>
    <w:pPr>
      <w:pBdr>
        <w:bottom w:val="single" w:sz="6" w:space="1" w:color="auto"/>
      </w:pBdr>
      <w:tabs>
        <w:tab w:val="center" w:pos="4153"/>
        <w:tab w:val="right" w:pos="8306"/>
      </w:tabs>
      <w:jc w:val="center"/>
    </w:pPr>
    <w:rPr>
      <w:sz w:val="18"/>
      <w:szCs w:val="18"/>
    </w:rPr>
  </w:style>
  <w:style w:type="paragraph" w:customStyle="1" w:styleId="10">
    <w:name w:val="列出段落1"/>
    <w:basedOn w:val="a3"/>
    <w:qFormat/>
    <w:pPr>
      <w:ind w:firstLine="420"/>
    </w:pPr>
    <w:rPr>
      <w:rFonts w:eastAsia="宋体" w:cs="Times New Roman"/>
      <w:szCs w:val="21"/>
    </w:rPr>
  </w:style>
  <w:style w:type="paragraph" w:customStyle="1" w:styleId="ab">
    <w:name w:val="段"/>
    <w:qFormat/>
    <w:pPr>
      <w:autoSpaceDE w:val="0"/>
      <w:autoSpaceDN w:val="0"/>
      <w:ind w:firstLineChars="200" w:firstLine="420"/>
      <w:jc w:val="both"/>
    </w:pPr>
    <w:rPr>
      <w:rFonts w:ascii="宋体" w:hAnsi="Calibri"/>
      <w:sz w:val="21"/>
    </w:rPr>
  </w:style>
  <w:style w:type="paragraph" w:customStyle="1" w:styleId="ac">
    <w:name w:val="标准文件_术语条一"/>
    <w:basedOn w:val="ad"/>
    <w:next w:val="ae"/>
    <w:qFormat/>
  </w:style>
  <w:style w:type="paragraph" w:customStyle="1" w:styleId="ad">
    <w:name w:val="标准文件_一级无标题"/>
    <w:basedOn w:val="a0"/>
    <w:qFormat/>
    <w:pPr>
      <w:spacing w:beforeLines="0" w:before="0" w:afterLines="0" w:after="0"/>
      <w:outlineLvl w:val="9"/>
    </w:pPr>
    <w:rPr>
      <w:rFonts w:ascii="宋体" w:eastAsia="宋体"/>
    </w:rPr>
  </w:style>
  <w:style w:type="paragraph" w:customStyle="1" w:styleId="a0">
    <w:name w:val="标准文件_一级条标题"/>
    <w:basedOn w:val="a"/>
    <w:next w:val="ae"/>
    <w:qFormat/>
    <w:pPr>
      <w:numPr>
        <w:ilvl w:val="2"/>
      </w:numPr>
      <w:spacing w:beforeLines="50" w:before="50" w:afterLines="50" w:after="50"/>
      <w:outlineLvl w:val="1"/>
    </w:pPr>
  </w:style>
  <w:style w:type="paragraph" w:customStyle="1" w:styleId="a">
    <w:name w:val="标准文件_章标题"/>
    <w:next w:val="ae"/>
    <w:qFormat/>
    <w:pPr>
      <w:numPr>
        <w:ilvl w:val="1"/>
        <w:numId w:val="1"/>
      </w:numPr>
      <w:spacing w:beforeLines="100" w:before="100" w:afterLines="100" w:after="100"/>
      <w:jc w:val="both"/>
      <w:outlineLvl w:val="0"/>
    </w:pPr>
    <w:rPr>
      <w:rFonts w:ascii="黑体" w:eastAsia="黑体"/>
      <w:sz w:val="21"/>
    </w:rPr>
  </w:style>
  <w:style w:type="paragraph" w:customStyle="1" w:styleId="ae">
    <w:name w:val="标准文件_段"/>
    <w:qFormat/>
    <w:pPr>
      <w:autoSpaceDE w:val="0"/>
      <w:autoSpaceDN w:val="0"/>
      <w:ind w:firstLineChars="200" w:firstLine="200"/>
      <w:jc w:val="both"/>
    </w:pPr>
    <w:rPr>
      <w:rFonts w:ascii="宋体"/>
      <w:sz w:val="21"/>
    </w:rPr>
  </w:style>
  <w:style w:type="paragraph" w:customStyle="1" w:styleId="a1">
    <w:name w:val="标准文件_二级条标题"/>
    <w:next w:val="ae"/>
    <w:qFormat/>
    <w:pPr>
      <w:widowControl w:val="0"/>
      <w:numPr>
        <w:ilvl w:val="3"/>
        <w:numId w:val="1"/>
      </w:numPr>
      <w:spacing w:beforeLines="50" w:before="50" w:afterLines="50" w:after="50"/>
      <w:ind w:left="0"/>
      <w:jc w:val="both"/>
      <w:outlineLvl w:val="2"/>
    </w:pPr>
    <w:rPr>
      <w:rFonts w:ascii="黑体" w:eastAsia="黑体"/>
      <w:sz w:val="21"/>
    </w:rPr>
  </w:style>
  <w:style w:type="paragraph" w:customStyle="1" w:styleId="af">
    <w:name w:val="标准文件_三级无标题"/>
    <w:basedOn w:val="a2"/>
    <w:qFormat/>
    <w:pPr>
      <w:spacing w:beforeLines="0" w:before="0" w:afterLines="0" w:after="0"/>
      <w:outlineLvl w:val="9"/>
    </w:pPr>
    <w:rPr>
      <w:rFonts w:ascii="宋体" w:eastAsia="宋体"/>
    </w:rPr>
  </w:style>
  <w:style w:type="paragraph" w:customStyle="1" w:styleId="a2">
    <w:name w:val="标准文件_三级条标题"/>
    <w:basedOn w:val="a1"/>
    <w:next w:val="ae"/>
    <w:qFormat/>
    <w:pPr>
      <w:widowControl/>
      <w:numPr>
        <w:ilvl w:val="4"/>
      </w:numPr>
      <w:outlineLvl w:val="3"/>
    </w:pPr>
  </w:style>
  <w:style w:type="character" w:customStyle="1" w:styleId="3Char">
    <w:name w:val="标题 3 Char"/>
    <w:basedOn w:val="a4"/>
    <w:link w:val="3"/>
    <w:rsid w:val="000E0B3F"/>
    <w:rPr>
      <w:rFonts w:ascii="黑体" w:eastAsia="黑体" w:hAnsi="黑体" w:cstheme="minorBidi"/>
      <w:bCs/>
      <w:kern w:val="2"/>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7D599E-B229-41DB-BFDF-EAE9FC8EE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Pages>
  <Words>500</Words>
  <Characters>2855</Characters>
  <Application>Microsoft Office Word</Application>
  <DocSecurity>0</DocSecurity>
  <Lines>23</Lines>
  <Paragraphs>6</Paragraphs>
  <ScaleCrop>false</ScaleCrop>
  <Company>Microsoft</Company>
  <LinksUpToDate>false</LinksUpToDate>
  <CharactersWithSpaces>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悠悠</dc:creator>
  <cp:lastModifiedBy>马雪</cp:lastModifiedBy>
  <cp:revision>13</cp:revision>
  <cp:lastPrinted>2025-08-26T15:46:00Z</cp:lastPrinted>
  <dcterms:created xsi:type="dcterms:W3CDTF">2025-07-18T07:34:00Z</dcterms:created>
  <dcterms:modified xsi:type="dcterms:W3CDTF">2026-04-14T06:07:00Z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1C4736CFD39A4457A1B7D13F863642A5</vt:lpwstr>
  </property>
  <property fmtid="{D5CDD505-2E9C-101B-9397-08002B2CF9AE}" pid="4" name="KSOTemplateDocerSaveRecord">
    <vt:lpwstr>eyJoZGlkIjoiMDdhZTdmYWY0MTY5ODFiOTY2MzQ3MDZjNWU2NjczYTcifQ==</vt:lpwstr>
  </property>
</Properties>
</file>